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4E" w:rsidRDefault="00B97E86">
      <w:pPr>
        <w:rPr>
          <w:noProof/>
        </w:rPr>
      </w:pPr>
      <w:r w:rsidRPr="00A21178">
        <w:rPr>
          <w:noProof/>
          <w:spacing w:val="7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0F9D2" wp14:editId="023CBC0B">
                <wp:simplePos x="0" y="0"/>
                <wp:positionH relativeFrom="column">
                  <wp:posOffset>4514850</wp:posOffset>
                </wp:positionH>
                <wp:positionV relativeFrom="paragraph">
                  <wp:posOffset>-699770</wp:posOffset>
                </wp:positionV>
                <wp:extent cx="2374265" cy="1403985"/>
                <wp:effectExtent l="0" t="0" r="3810" b="1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E86" w:rsidRPr="00B97E86" w:rsidRDefault="00B97E86" w:rsidP="00B97E86">
                            <w:pPr>
                              <w:rPr>
                                <w:rFonts w:cs="Times New Roman"/>
                                <w:i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97E86">
                              <w:rPr>
                                <w:rFonts w:cs="Times New Roman"/>
                                <w:i/>
                                <w:sz w:val="22"/>
                                <w:szCs w:val="22"/>
                                <w:lang w:val="ru-RU"/>
                              </w:rPr>
                              <w:t>Неоф</w:t>
                            </w:r>
                            <w:r w:rsidRPr="00B97E86">
                              <w:rPr>
                                <w:rFonts w:cs="Times New Roman"/>
                                <w:i/>
                                <w:sz w:val="22"/>
                                <w:szCs w:val="22"/>
                              </w:rPr>
                              <w:t>іційний</w:t>
                            </w:r>
                            <w:proofErr w:type="spellEnd"/>
                            <w:r w:rsidRPr="00B97E86">
                              <w:rPr>
                                <w:rFonts w:cs="Times New Roman"/>
                                <w:i/>
                                <w:sz w:val="22"/>
                                <w:szCs w:val="22"/>
                              </w:rPr>
                              <w:t xml:space="preserve"> переклад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5.5pt;margin-top:-55.1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" stroked="f">
                <v:textbox style="mso-fit-shape-to-text:t">
                  <w:txbxContent>
                    <w:p w:rsidR="00B97E86" w:rsidRPr="00B97E86" w:rsidRDefault="00B97E86" w:rsidP="00B97E86">
                      <w:pPr>
                        <w:rPr>
                          <w:rFonts w:cs="Times New Roman"/>
                          <w:i/>
                          <w:sz w:val="22"/>
                          <w:szCs w:val="22"/>
                        </w:rPr>
                      </w:pPr>
                      <w:proofErr w:type="spellStart"/>
                      <w:r w:rsidRPr="00B97E86">
                        <w:rPr>
                          <w:rFonts w:cs="Times New Roman"/>
                          <w:i/>
                          <w:sz w:val="22"/>
                          <w:szCs w:val="22"/>
                          <w:lang w:val="ru-RU"/>
                        </w:rPr>
                        <w:t>Неоф</w:t>
                      </w:r>
                      <w:r w:rsidRPr="00B97E86">
                        <w:rPr>
                          <w:rFonts w:cs="Times New Roman"/>
                          <w:i/>
                          <w:sz w:val="22"/>
                          <w:szCs w:val="22"/>
                        </w:rPr>
                        <w:t>іційний</w:t>
                      </w:r>
                      <w:proofErr w:type="spellEnd"/>
                      <w:r w:rsidRPr="00B97E86">
                        <w:rPr>
                          <w:rFonts w:cs="Times New Roman"/>
                          <w:i/>
                          <w:sz w:val="22"/>
                          <w:szCs w:val="22"/>
                        </w:rPr>
                        <w:t xml:space="preserve"> переклад</w:t>
                      </w:r>
                    </w:p>
                  </w:txbxContent>
                </v:textbox>
              </v:shape>
            </w:pict>
          </mc:Fallback>
        </mc:AlternateContent>
      </w:r>
      <w:r w:rsidR="00D340B6">
        <w:rPr>
          <w:noProof/>
        </w:rPr>
        <w:drawing>
          <wp:inline distT="0" distB="0" distL="0" distR="0" wp14:anchorId="4B17E727" wp14:editId="6F0BA4DF">
            <wp:extent cx="5943600" cy="862528"/>
            <wp:effectExtent l="0" t="0" r="0" b="1270"/>
            <wp:docPr id="5209" name="Picture 5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9" name="Picture 52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0B6" w:rsidRDefault="00D340B6" w:rsidP="00D340B6">
      <w:pPr>
        <w:rPr>
          <w:b/>
          <w:bCs/>
          <w:sz w:val="24"/>
          <w:szCs w:val="18"/>
        </w:rPr>
      </w:pPr>
      <w:r w:rsidRPr="00D340B6">
        <w:rPr>
          <w:b/>
          <w:bCs/>
          <w:sz w:val="24"/>
          <w:szCs w:val="18"/>
        </w:rPr>
        <w:t>Резолюція 2188(2017)</w:t>
      </w:r>
      <w:r w:rsidR="0008446E">
        <w:rPr>
          <w:rStyle w:val="a6"/>
          <w:b/>
          <w:bCs/>
          <w:sz w:val="24"/>
          <w:szCs w:val="18"/>
        </w:rPr>
        <w:footnoteReference w:id="1"/>
      </w:r>
    </w:p>
    <w:p w:rsidR="00D340B6" w:rsidRDefault="00D340B6" w:rsidP="00D340B6">
      <w:pPr>
        <w:rPr>
          <w:b/>
          <w:bCs/>
          <w:sz w:val="24"/>
          <w:szCs w:val="18"/>
        </w:rPr>
      </w:pPr>
    </w:p>
    <w:p w:rsidR="00D340B6" w:rsidRDefault="00D340B6" w:rsidP="003F51DC">
      <w:pPr>
        <w:spacing w:line="240" w:lineRule="auto"/>
        <w:ind w:left="709" w:firstLine="0"/>
        <w:rPr>
          <w:b/>
          <w:bCs/>
          <w:sz w:val="32"/>
          <w:szCs w:val="21"/>
        </w:rPr>
      </w:pPr>
      <w:bookmarkStart w:id="0" w:name="_GoBack"/>
      <w:r w:rsidRPr="00D340B6">
        <w:rPr>
          <w:b/>
          <w:bCs/>
          <w:sz w:val="32"/>
          <w:szCs w:val="21"/>
        </w:rPr>
        <w:t xml:space="preserve">Нові загрози верховенству права в державах-членах Ради </w:t>
      </w:r>
      <w:r w:rsidR="003F51DC">
        <w:rPr>
          <w:b/>
          <w:bCs/>
          <w:sz w:val="32"/>
          <w:szCs w:val="21"/>
        </w:rPr>
        <w:t xml:space="preserve">     </w:t>
      </w:r>
      <w:r w:rsidRPr="00D340B6">
        <w:rPr>
          <w:b/>
          <w:bCs/>
          <w:sz w:val="32"/>
          <w:szCs w:val="21"/>
        </w:rPr>
        <w:t>Європи: окремі приклади</w:t>
      </w:r>
    </w:p>
    <w:bookmarkEnd w:id="0"/>
    <w:p w:rsidR="00D340B6" w:rsidRDefault="00D340B6" w:rsidP="00D340B6">
      <w:pPr>
        <w:rPr>
          <w:b/>
          <w:bCs/>
          <w:sz w:val="24"/>
          <w:szCs w:val="18"/>
        </w:rPr>
      </w:pPr>
    </w:p>
    <w:p w:rsidR="00D340B6" w:rsidRDefault="00D340B6" w:rsidP="00D340B6">
      <w:pPr>
        <w:spacing w:line="240" w:lineRule="auto"/>
        <w:rPr>
          <w:sz w:val="24"/>
          <w:szCs w:val="24"/>
        </w:rPr>
      </w:pPr>
      <w:r w:rsidRPr="00D340B6">
        <w:rPr>
          <w:sz w:val="24"/>
          <w:szCs w:val="24"/>
        </w:rPr>
        <w:t>Парламентська асамблея</w:t>
      </w:r>
    </w:p>
    <w:p w:rsidR="00267467" w:rsidRPr="00D340B6" w:rsidRDefault="00267467" w:rsidP="00D340B6">
      <w:pPr>
        <w:spacing w:line="240" w:lineRule="auto"/>
        <w:rPr>
          <w:sz w:val="24"/>
          <w:szCs w:val="24"/>
        </w:rPr>
      </w:pPr>
    </w:p>
    <w:p w:rsidR="00D340B6" w:rsidRPr="00267467" w:rsidRDefault="00D340B6" w:rsidP="0026746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 xml:space="preserve">Парламентська </w:t>
      </w:r>
      <w:r w:rsidR="00A45E34">
        <w:rPr>
          <w:sz w:val="24"/>
          <w:szCs w:val="24"/>
        </w:rPr>
        <w:t>асамблея</w:t>
      </w:r>
      <w:r w:rsidRPr="00267467">
        <w:rPr>
          <w:sz w:val="24"/>
          <w:szCs w:val="24"/>
        </w:rPr>
        <w:t xml:space="preserve"> посилається на свої попередні резолюції сто</w:t>
      </w:r>
      <w:r w:rsidR="00A45E34">
        <w:rPr>
          <w:sz w:val="24"/>
          <w:szCs w:val="24"/>
        </w:rPr>
        <w:t>с</w:t>
      </w:r>
      <w:r w:rsidRPr="00267467">
        <w:rPr>
          <w:sz w:val="24"/>
          <w:szCs w:val="24"/>
        </w:rPr>
        <w:t xml:space="preserve">овно захисту верховенства права в державах-членах Ради Європи, зокрема на </w:t>
      </w:r>
      <w:hyperlink r:id="rId10" w:history="1">
        <w:r w:rsidRPr="00917117">
          <w:rPr>
            <w:rStyle w:val="a7"/>
            <w:sz w:val="24"/>
            <w:szCs w:val="24"/>
            <w:u w:val="none"/>
          </w:rPr>
          <w:t>Резолюцію 1594 (2007)</w:t>
        </w:r>
      </w:hyperlink>
      <w:r w:rsidRPr="00917117">
        <w:rPr>
          <w:sz w:val="24"/>
          <w:szCs w:val="24"/>
        </w:rPr>
        <w:t xml:space="preserve"> про принцип верховенства права, </w:t>
      </w:r>
      <w:hyperlink r:id="rId11" w:history="1">
        <w:r w:rsidRPr="00917117">
          <w:rPr>
            <w:rStyle w:val="a7"/>
            <w:sz w:val="24"/>
            <w:szCs w:val="24"/>
            <w:u w:val="none"/>
          </w:rPr>
          <w:t>Резолюцію 1685 (2009)</w:t>
        </w:r>
      </w:hyperlink>
      <w:r w:rsidRPr="00917117">
        <w:rPr>
          <w:sz w:val="24"/>
          <w:szCs w:val="24"/>
        </w:rPr>
        <w:t xml:space="preserve"> про з</w:t>
      </w:r>
      <w:r w:rsidR="00A45E34">
        <w:rPr>
          <w:sz w:val="24"/>
          <w:szCs w:val="24"/>
        </w:rPr>
        <w:t>аяви</w:t>
      </w:r>
      <w:r w:rsidRPr="00917117">
        <w:rPr>
          <w:sz w:val="24"/>
          <w:szCs w:val="24"/>
        </w:rPr>
        <w:t xml:space="preserve"> </w:t>
      </w:r>
      <w:r w:rsidR="00A45E34">
        <w:rPr>
          <w:sz w:val="24"/>
          <w:szCs w:val="24"/>
        </w:rPr>
        <w:t>про</w:t>
      </w:r>
      <w:r w:rsidRPr="00917117">
        <w:rPr>
          <w:sz w:val="24"/>
          <w:szCs w:val="24"/>
        </w:rPr>
        <w:t xml:space="preserve"> політ</w:t>
      </w:r>
      <w:r w:rsidR="00A45E34">
        <w:rPr>
          <w:sz w:val="24"/>
          <w:szCs w:val="24"/>
        </w:rPr>
        <w:t>ико-</w:t>
      </w:r>
      <w:r w:rsidRPr="00917117">
        <w:rPr>
          <w:sz w:val="24"/>
          <w:szCs w:val="24"/>
        </w:rPr>
        <w:t>вмотивов</w:t>
      </w:r>
      <w:r w:rsidR="00A45E34">
        <w:rPr>
          <w:sz w:val="24"/>
          <w:szCs w:val="24"/>
        </w:rPr>
        <w:t>ані</w:t>
      </w:r>
      <w:r w:rsidRPr="00917117">
        <w:rPr>
          <w:sz w:val="24"/>
          <w:szCs w:val="24"/>
        </w:rPr>
        <w:t xml:space="preserve"> зловживання</w:t>
      </w:r>
      <w:r w:rsidR="00A45E34">
        <w:rPr>
          <w:sz w:val="24"/>
          <w:szCs w:val="24"/>
        </w:rPr>
        <w:t xml:space="preserve"> в</w:t>
      </w:r>
      <w:r w:rsidRPr="00917117">
        <w:rPr>
          <w:sz w:val="24"/>
          <w:szCs w:val="24"/>
        </w:rPr>
        <w:t xml:space="preserve"> систем</w:t>
      </w:r>
      <w:r w:rsidR="00A45E34">
        <w:rPr>
          <w:sz w:val="24"/>
          <w:szCs w:val="24"/>
        </w:rPr>
        <w:t>і</w:t>
      </w:r>
      <w:r w:rsidRPr="00917117">
        <w:rPr>
          <w:sz w:val="24"/>
          <w:szCs w:val="24"/>
        </w:rPr>
        <w:t xml:space="preserve"> кримінального правосуддя в державах-</w:t>
      </w:r>
      <w:r w:rsidR="00A45E34">
        <w:rPr>
          <w:sz w:val="24"/>
          <w:szCs w:val="24"/>
        </w:rPr>
        <w:t>членах</w:t>
      </w:r>
      <w:r w:rsidRPr="00917117">
        <w:rPr>
          <w:sz w:val="24"/>
          <w:szCs w:val="24"/>
        </w:rPr>
        <w:t xml:space="preserve"> Ради Європи, </w:t>
      </w:r>
      <w:hyperlink r:id="rId12" w:history="1">
        <w:r w:rsidRPr="00917117">
          <w:rPr>
            <w:rStyle w:val="a7"/>
            <w:sz w:val="24"/>
            <w:szCs w:val="24"/>
            <w:u w:val="none"/>
          </w:rPr>
          <w:t>Резолюцію 2040 (2015)</w:t>
        </w:r>
      </w:hyperlink>
      <w:r w:rsidRPr="00917117">
        <w:rPr>
          <w:sz w:val="24"/>
          <w:szCs w:val="24"/>
        </w:rPr>
        <w:t xml:space="preserve"> «Загрози верховенству права в державах-членах Ради Європи: </w:t>
      </w:r>
      <w:r w:rsidR="00AA3DB6">
        <w:rPr>
          <w:sz w:val="24"/>
          <w:szCs w:val="24"/>
        </w:rPr>
        <w:t>за</w:t>
      </w:r>
      <w:r w:rsidRPr="00917117">
        <w:rPr>
          <w:sz w:val="24"/>
          <w:szCs w:val="24"/>
        </w:rPr>
        <w:t xml:space="preserve">твердження </w:t>
      </w:r>
      <w:r w:rsidR="00AA3DB6">
        <w:rPr>
          <w:sz w:val="24"/>
          <w:szCs w:val="24"/>
        </w:rPr>
        <w:t>повноважень</w:t>
      </w:r>
      <w:r w:rsidRPr="00917117">
        <w:rPr>
          <w:sz w:val="24"/>
          <w:szCs w:val="24"/>
        </w:rPr>
        <w:t xml:space="preserve"> Парламентської асамблеї», </w:t>
      </w:r>
      <w:hyperlink r:id="rId13" w:history="1">
        <w:r w:rsidRPr="00917117">
          <w:rPr>
            <w:rStyle w:val="a7"/>
            <w:sz w:val="24"/>
            <w:szCs w:val="24"/>
            <w:u w:val="none"/>
          </w:rPr>
          <w:t>Резолюція 1703 (2010)</w:t>
        </w:r>
      </w:hyperlink>
      <w:r w:rsidRPr="00917117">
        <w:rPr>
          <w:sz w:val="24"/>
          <w:szCs w:val="24"/>
        </w:rPr>
        <w:t xml:space="preserve"> та </w:t>
      </w:r>
      <w:hyperlink r:id="rId14" w:history="1">
        <w:r w:rsidRPr="00917117">
          <w:rPr>
            <w:rStyle w:val="a7"/>
            <w:sz w:val="24"/>
            <w:szCs w:val="24"/>
            <w:u w:val="none"/>
          </w:rPr>
          <w:t>Рекомендація 1896 (2010)</w:t>
        </w:r>
      </w:hyperlink>
      <w:r w:rsidRPr="00917117">
        <w:rPr>
          <w:sz w:val="24"/>
          <w:szCs w:val="24"/>
        </w:rPr>
        <w:t xml:space="preserve"> </w:t>
      </w:r>
      <w:r w:rsidR="00AA3DB6">
        <w:rPr>
          <w:sz w:val="24"/>
          <w:szCs w:val="24"/>
        </w:rPr>
        <w:t>про корупцію в судовій системі</w:t>
      </w:r>
      <w:r w:rsidRPr="00917117">
        <w:rPr>
          <w:sz w:val="24"/>
          <w:szCs w:val="24"/>
        </w:rPr>
        <w:t xml:space="preserve">, </w:t>
      </w:r>
      <w:hyperlink r:id="rId15" w:history="1">
        <w:r w:rsidRPr="00917117">
          <w:rPr>
            <w:rStyle w:val="a7"/>
            <w:sz w:val="24"/>
            <w:szCs w:val="24"/>
            <w:u w:val="none"/>
          </w:rPr>
          <w:t>Резолюція 1943 (2013)</w:t>
        </w:r>
      </w:hyperlink>
      <w:r w:rsidRPr="00917117">
        <w:rPr>
          <w:sz w:val="24"/>
          <w:szCs w:val="24"/>
        </w:rPr>
        <w:t xml:space="preserve"> та </w:t>
      </w:r>
      <w:hyperlink r:id="rId16" w:history="1">
        <w:r w:rsidRPr="00917117">
          <w:rPr>
            <w:rStyle w:val="a7"/>
            <w:sz w:val="24"/>
            <w:szCs w:val="24"/>
            <w:u w:val="none"/>
          </w:rPr>
          <w:t>Рекомендація 2019 (2013)</w:t>
        </w:r>
      </w:hyperlink>
      <w:r w:rsidRPr="00917117">
        <w:rPr>
          <w:sz w:val="24"/>
          <w:szCs w:val="24"/>
        </w:rPr>
        <w:t xml:space="preserve"> щодо корупції як загрози верховенству права, а також </w:t>
      </w:r>
      <w:hyperlink r:id="rId17" w:history="1">
        <w:r w:rsidRPr="00917117">
          <w:rPr>
            <w:rStyle w:val="a7"/>
            <w:sz w:val="24"/>
            <w:szCs w:val="24"/>
            <w:u w:val="none"/>
          </w:rPr>
          <w:t>Резолюція 2098 (2016)</w:t>
        </w:r>
      </w:hyperlink>
      <w:r w:rsidRPr="00917117">
        <w:rPr>
          <w:sz w:val="24"/>
          <w:szCs w:val="24"/>
        </w:rPr>
        <w:t xml:space="preserve"> та </w:t>
      </w:r>
      <w:hyperlink r:id="rId18" w:history="1">
        <w:r w:rsidRPr="00917117">
          <w:rPr>
            <w:rStyle w:val="a7"/>
            <w:sz w:val="24"/>
            <w:szCs w:val="24"/>
            <w:u w:val="none"/>
          </w:rPr>
          <w:t>Рекомендація 2087 (2016)</w:t>
        </w:r>
      </w:hyperlink>
      <w:r w:rsidRPr="00917117">
        <w:rPr>
          <w:sz w:val="24"/>
          <w:szCs w:val="24"/>
        </w:rPr>
        <w:t xml:space="preserve"> «</w:t>
      </w:r>
      <w:r w:rsidRPr="00267467">
        <w:rPr>
          <w:sz w:val="24"/>
          <w:szCs w:val="24"/>
        </w:rPr>
        <w:t>Судова корупція: нагальна потреба у в</w:t>
      </w:r>
      <w:r w:rsidR="00754C69">
        <w:rPr>
          <w:sz w:val="24"/>
          <w:szCs w:val="24"/>
        </w:rPr>
        <w:t>провадженні</w:t>
      </w:r>
      <w:r w:rsidRPr="00267467">
        <w:rPr>
          <w:sz w:val="24"/>
          <w:szCs w:val="24"/>
        </w:rPr>
        <w:t xml:space="preserve"> пропозицій Асамблеї».</w:t>
      </w:r>
    </w:p>
    <w:p w:rsidR="00D340B6" w:rsidRPr="00267467" w:rsidRDefault="00D340B6" w:rsidP="00267467">
      <w:pPr>
        <w:pStyle w:val="a3"/>
        <w:spacing w:line="240" w:lineRule="auto"/>
        <w:ind w:left="1069" w:firstLine="0"/>
        <w:rPr>
          <w:sz w:val="24"/>
          <w:szCs w:val="24"/>
        </w:rPr>
      </w:pPr>
    </w:p>
    <w:p w:rsidR="00267467" w:rsidRPr="00267467" w:rsidRDefault="00D340B6" w:rsidP="00267467">
      <w:pPr>
        <w:pStyle w:val="a3"/>
        <w:numPr>
          <w:ilvl w:val="0"/>
          <w:numId w:val="1"/>
        </w:numPr>
        <w:spacing w:after="169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 xml:space="preserve">Асамблея відзначає занепокоєність стосовно серйозних проблем, які пов’язані з верховенством права у багатьох державах-членах Ради Європи. У своїй </w:t>
      </w:r>
      <w:hyperlink r:id="rId19" w:history="1">
        <w:r w:rsidRPr="00917117">
          <w:rPr>
            <w:rStyle w:val="a7"/>
            <w:sz w:val="24"/>
            <w:szCs w:val="24"/>
            <w:u w:val="none"/>
          </w:rPr>
          <w:t>Резолюції 2040 (2015)</w:t>
        </w:r>
      </w:hyperlink>
      <w:r w:rsidRPr="00917117">
        <w:rPr>
          <w:sz w:val="24"/>
          <w:szCs w:val="24"/>
        </w:rPr>
        <w:t xml:space="preserve"> вона висловила жаль з приводу деяких рекомендацій стосовно захисту та зміцнення</w:t>
      </w:r>
      <w:r w:rsidRPr="00267467">
        <w:rPr>
          <w:sz w:val="24"/>
          <w:szCs w:val="24"/>
        </w:rPr>
        <w:t xml:space="preserve"> верховенства права, які досі не впроваджені окремими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державами-членами.</w:t>
      </w:r>
      <w:r w:rsidR="00267467">
        <w:rPr>
          <w:sz w:val="24"/>
          <w:szCs w:val="24"/>
        </w:rPr>
        <w:br/>
      </w:r>
    </w:p>
    <w:p w:rsidR="00D340B6" w:rsidRDefault="00754C69" w:rsidP="00267467">
      <w:pPr>
        <w:pStyle w:val="a3"/>
        <w:numPr>
          <w:ilvl w:val="0"/>
          <w:numId w:val="1"/>
        </w:numPr>
        <w:spacing w:after="169" w:line="24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-14877</wp:posOffset>
                </wp:positionH>
                <wp:positionV relativeFrom="paragraph">
                  <wp:posOffset>1693999</wp:posOffset>
                </wp:positionV>
                <wp:extent cx="6003480" cy="248557"/>
                <wp:effectExtent l="12700" t="12700" r="16510" b="18415"/>
                <wp:wrapNone/>
                <wp:docPr id="11841539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480" cy="248557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46E" w:rsidRPr="0008446E" w:rsidRDefault="0008446E" w:rsidP="0008446E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08446E">
                              <w:rPr>
                                <w:b/>
                                <w:color w:val="000000" w:themeColor="text1"/>
                                <w:sz w:val="17"/>
                              </w:rPr>
                              <w:t xml:space="preserve">https://pace.coe.int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6" style="position:absolute;left:0;text-align:left;margin-left:-1.15pt;margin-top:133.4pt;width:472.7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" fillcolor="#a5a5a5 [3206]" strokecolor="white [3201]" strokeweight="1.5pt">
                <v:textbox>
                  <w:txbxContent>
                    <w:p w:rsidR="0008446E" w:rsidRPr="0008446E" w:rsidRDefault="0008446E" w:rsidP="0008446E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08446E">
                        <w:rPr>
                          <w:b/>
                          <w:color w:val="000000" w:themeColor="text1"/>
                          <w:sz w:val="17"/>
                        </w:rPr>
                        <w:t xml:space="preserve">https://pace.coe.int   </w:t>
                      </w:r>
                    </w:p>
                  </w:txbxContent>
                </v:textbox>
              </v:rect>
            </w:pict>
          </mc:Fallback>
        </mc:AlternateContent>
      </w:r>
      <w:r w:rsidR="00D340B6" w:rsidRPr="00267467">
        <w:rPr>
          <w:sz w:val="24"/>
          <w:szCs w:val="24"/>
        </w:rPr>
        <w:t>Асамблея глибоко занепокоєна випадками у деяких державах-членах, у яких національні судові органи застосовуються для того, щоб змусити мовчати політичних опонентів та розправитися з тими, хто не згоден з урядовою політикою.</w:t>
      </w:r>
    </w:p>
    <w:p w:rsidR="00267467" w:rsidRPr="00267467" w:rsidRDefault="00267467" w:rsidP="00267467">
      <w:pPr>
        <w:pStyle w:val="a3"/>
        <w:spacing w:after="169" w:line="240" w:lineRule="auto"/>
        <w:ind w:left="1069" w:firstLine="0"/>
        <w:rPr>
          <w:sz w:val="24"/>
          <w:szCs w:val="24"/>
        </w:rPr>
      </w:pPr>
    </w:p>
    <w:p w:rsidR="00267467" w:rsidRPr="00B97E86" w:rsidRDefault="00D340B6" w:rsidP="00267467">
      <w:pPr>
        <w:pStyle w:val="a3"/>
        <w:numPr>
          <w:ilvl w:val="0"/>
          <w:numId w:val="1"/>
        </w:numPr>
        <w:spacing w:after="169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lastRenderedPageBreak/>
        <w:t>Повністю усвідомлюючи різноманітність правових систем і культур держав-членів, Асамблея підкреслює, що повага до верховенства права є однією з основних цінностей Організації і</w:t>
      </w:r>
      <w:r w:rsidR="007001CC">
        <w:rPr>
          <w:sz w:val="24"/>
          <w:szCs w:val="24"/>
        </w:rPr>
        <w:t xml:space="preserve">, що вона </w:t>
      </w:r>
      <w:r w:rsidRPr="00267467">
        <w:rPr>
          <w:sz w:val="24"/>
          <w:szCs w:val="24"/>
        </w:rPr>
        <w:t>тісно пов’язана з демократією та повагою до прав людини. Ст</w:t>
      </w:r>
      <w:r w:rsidR="007001CC">
        <w:rPr>
          <w:sz w:val="24"/>
          <w:szCs w:val="24"/>
        </w:rPr>
        <w:t>.</w:t>
      </w:r>
      <w:r w:rsidRPr="00267467">
        <w:rPr>
          <w:sz w:val="24"/>
          <w:szCs w:val="24"/>
        </w:rPr>
        <w:t xml:space="preserve"> 6 Європейської конвенції з прав людини (ETS № 5) закріплює один з її основних компонентів: принцип незалежності та неупередженості судової влади. Крім того, Рада Європи є міжнародною організацією, яка розробила правові та політичні документи у цій сфері через роботу своїх статутних органів та спеціалізованих інстанцій, таких як Європейська комісія «За демократію через право» (Венеціанська комісія), Група держав проти корупції (ГРЕКО), Європейська комісія з питань ефективності правосуддя (ЄКЕП), Консультативна рад</w:t>
      </w:r>
      <w:r w:rsidR="00B97E86">
        <w:rPr>
          <w:sz w:val="24"/>
          <w:szCs w:val="24"/>
        </w:rPr>
        <w:t>а європейських суддів (КРЄС) та</w:t>
      </w:r>
      <w:r w:rsidR="00B97E86" w:rsidRPr="00B97E86">
        <w:rPr>
          <w:sz w:val="24"/>
          <w:szCs w:val="24"/>
        </w:rPr>
        <w:t xml:space="preserve"> </w:t>
      </w:r>
      <w:r w:rsidRPr="00267467">
        <w:rPr>
          <w:sz w:val="24"/>
          <w:szCs w:val="24"/>
        </w:rPr>
        <w:t>Консультативна рада європейських прокурорів (КРЄП).</w:t>
      </w:r>
    </w:p>
    <w:p w:rsidR="00B97E86" w:rsidRPr="00267467" w:rsidRDefault="00B97E86" w:rsidP="00B97E86">
      <w:pPr>
        <w:pStyle w:val="a3"/>
        <w:spacing w:after="169" w:line="240" w:lineRule="auto"/>
        <w:ind w:left="1069" w:firstLine="0"/>
        <w:rPr>
          <w:sz w:val="24"/>
          <w:szCs w:val="24"/>
        </w:rPr>
      </w:pPr>
    </w:p>
    <w:p w:rsidR="00D340B6" w:rsidRPr="00267467" w:rsidRDefault="00D340B6" w:rsidP="00267467">
      <w:pPr>
        <w:pStyle w:val="a3"/>
        <w:numPr>
          <w:ilvl w:val="0"/>
          <w:numId w:val="1"/>
        </w:numPr>
        <w:spacing w:after="169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Асамблея знову закликає всі держави-члени Ради Європи повністю дотримуватися принципу верховенства права відповідно до вищезгаданих документів Ради Європи та продовжувати співпрацювати з її відповідними органами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та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інстанціями.</w:t>
      </w:r>
      <w:r w:rsidR="00267467">
        <w:rPr>
          <w:sz w:val="24"/>
          <w:szCs w:val="24"/>
        </w:rPr>
        <w:br/>
      </w:r>
    </w:p>
    <w:p w:rsidR="00D340B6" w:rsidRPr="00B97E86" w:rsidRDefault="00D340B6" w:rsidP="00267467">
      <w:pPr>
        <w:pStyle w:val="a3"/>
        <w:numPr>
          <w:ilvl w:val="0"/>
          <w:numId w:val="1"/>
        </w:numPr>
        <w:spacing w:after="169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Асамблея провела ретельний аналіз в п</w:t>
      </w:r>
      <w:r w:rsidR="00CD590A">
        <w:rPr>
          <w:sz w:val="24"/>
          <w:szCs w:val="24"/>
        </w:rPr>
        <w:t>’</w:t>
      </w:r>
      <w:r w:rsidRPr="00267467">
        <w:rPr>
          <w:sz w:val="24"/>
          <w:szCs w:val="24"/>
        </w:rPr>
        <w:t>яти державах-членах: Болгарії, Республіці Молдова, Польщі, Румунії та Туреччині. Хоча перелік проблем, виявлених у цих державах, не охоплює всіх проблем, які є у державах-членах Ради Європи, Асамблея занепокоєна деякими нещодавніми подіями, які ставлять під загрозу повагу до верховенства права, і, зокрема, до незалежності судової влади та принципу поділу влади. Це пов</w:t>
      </w:r>
      <w:r w:rsidR="00CD590A">
        <w:rPr>
          <w:sz w:val="24"/>
          <w:szCs w:val="24"/>
        </w:rPr>
        <w:t>’</w:t>
      </w:r>
      <w:r w:rsidRPr="00267467">
        <w:rPr>
          <w:sz w:val="24"/>
          <w:szCs w:val="24"/>
        </w:rPr>
        <w:t>язано, головним чином, з тенденціями до обмеження незалежності судової влади через спроби політизації судових рад і судів (переважно в Болгарії, Польщі та Туреччині), масове відкликання суддів і прокурорів (Туреччина) або спроби такого відкликання (Польща), а також тенденції до обмеження законодавчої влади парламенту (Республіка Молдова, Румунія і Туреччина). Крім того, корупція, яка є основним викликом для верховенства права,</w:t>
      </w:r>
      <w:r w:rsidR="00B97E86">
        <w:rPr>
          <w:sz w:val="24"/>
          <w:szCs w:val="24"/>
        </w:rPr>
        <w:t xml:space="preserve"> залишається поширеним явищем у</w:t>
      </w:r>
      <w:r w:rsidR="00B97E86" w:rsidRPr="00B97E86">
        <w:rPr>
          <w:sz w:val="24"/>
          <w:szCs w:val="24"/>
          <w:lang w:val="ru-RU"/>
        </w:rPr>
        <w:t xml:space="preserve"> </w:t>
      </w:r>
      <w:r w:rsidRPr="00267467">
        <w:rPr>
          <w:sz w:val="24"/>
          <w:szCs w:val="24"/>
        </w:rPr>
        <w:t>Болгарії, Республіці Молдова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та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Румунії.</w:t>
      </w:r>
    </w:p>
    <w:p w:rsidR="00B97E86" w:rsidRPr="00267467" w:rsidRDefault="00B97E86" w:rsidP="00B97E86">
      <w:pPr>
        <w:pStyle w:val="a3"/>
        <w:spacing w:after="169" w:line="240" w:lineRule="auto"/>
        <w:ind w:left="1069" w:firstLine="0"/>
        <w:rPr>
          <w:sz w:val="24"/>
          <w:szCs w:val="24"/>
        </w:rPr>
      </w:pPr>
    </w:p>
    <w:p w:rsidR="00D340B6" w:rsidRPr="00267467" w:rsidRDefault="00D340B6" w:rsidP="00267467">
      <w:pPr>
        <w:pStyle w:val="a3"/>
        <w:numPr>
          <w:ilvl w:val="0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Таким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чином,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Асамблея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закликає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владу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Болгарії:</w:t>
      </w:r>
      <w:r w:rsidR="00267467" w:rsidRPr="00267467">
        <w:rPr>
          <w:sz w:val="24"/>
          <w:szCs w:val="24"/>
        </w:rPr>
        <w:br/>
      </w:r>
    </w:p>
    <w:p w:rsidR="00D340B6" w:rsidRDefault="00D340B6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продовжити реформу Вищої судової ради, судової системи та прокуратури відповідно до рекомендацій Ради Європи;</w:t>
      </w:r>
    </w:p>
    <w:p w:rsidR="00267467" w:rsidRPr="00267467" w:rsidRDefault="00267467" w:rsidP="00267467">
      <w:pPr>
        <w:pStyle w:val="a3"/>
        <w:spacing w:after="174" w:line="240" w:lineRule="auto"/>
        <w:ind w:left="1789" w:firstLine="0"/>
        <w:rPr>
          <w:sz w:val="24"/>
          <w:szCs w:val="24"/>
        </w:rPr>
      </w:pPr>
    </w:p>
    <w:p w:rsidR="00267467" w:rsidRPr="00267467" w:rsidRDefault="00D340B6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зміцнити зусилля у боротьбі з корупцією і, зокрема, створити антикорупційне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бюро.</w:t>
      </w:r>
      <w:r w:rsidR="00267467">
        <w:rPr>
          <w:sz w:val="24"/>
          <w:szCs w:val="24"/>
        </w:rPr>
        <w:br/>
      </w:r>
    </w:p>
    <w:p w:rsidR="00D340B6" w:rsidRPr="00267467" w:rsidRDefault="00D340B6" w:rsidP="00267467">
      <w:pPr>
        <w:pStyle w:val="a3"/>
        <w:numPr>
          <w:ilvl w:val="0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Асамблея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закликає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владу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Республіки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Молдова:</w:t>
      </w:r>
      <w:r w:rsidR="00267467">
        <w:rPr>
          <w:sz w:val="24"/>
          <w:szCs w:val="24"/>
        </w:rPr>
        <w:br/>
      </w:r>
    </w:p>
    <w:p w:rsidR="007933D1" w:rsidRPr="00267467" w:rsidRDefault="007933D1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продовжити реформу Вищої ради магістратури, судової системи та прокуратури відповідно до рекомендацій органів Ради Європи;</w:t>
      </w:r>
      <w:r w:rsidR="00267467">
        <w:rPr>
          <w:sz w:val="24"/>
          <w:szCs w:val="24"/>
        </w:rPr>
        <w:br/>
      </w:r>
    </w:p>
    <w:p w:rsidR="007933D1" w:rsidRPr="00267467" w:rsidRDefault="007933D1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lastRenderedPageBreak/>
        <w:t>значно зміцнити зусилля у боротьбі з корупцією і, зокрема, забезпечити повну незалежність основних інституцій, які є компетентними у цій сфері;</w:t>
      </w:r>
      <w:r w:rsidR="00267467">
        <w:rPr>
          <w:sz w:val="24"/>
          <w:szCs w:val="24"/>
        </w:rPr>
        <w:br/>
      </w:r>
    </w:p>
    <w:p w:rsidR="007933D1" w:rsidRPr="00267467" w:rsidRDefault="007933D1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утримуватися від вжиття заходів, які б підривали принцип поділу влади</w:t>
      </w:r>
      <w:r w:rsidR="00267467">
        <w:rPr>
          <w:sz w:val="24"/>
          <w:szCs w:val="24"/>
        </w:rPr>
        <w:t>.</w:t>
      </w:r>
      <w:r w:rsidR="00267467">
        <w:rPr>
          <w:sz w:val="24"/>
          <w:szCs w:val="24"/>
        </w:rPr>
        <w:br/>
      </w:r>
    </w:p>
    <w:p w:rsidR="007933D1" w:rsidRPr="00267467" w:rsidRDefault="007933D1" w:rsidP="00267467">
      <w:pPr>
        <w:pStyle w:val="a3"/>
        <w:numPr>
          <w:ilvl w:val="0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Асамблея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закликає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владу</w:t>
      </w:r>
      <w:r w:rsidR="00267467">
        <w:rPr>
          <w:sz w:val="24"/>
          <w:szCs w:val="24"/>
        </w:rPr>
        <w:t> </w:t>
      </w:r>
      <w:r w:rsidR="00CD590A">
        <w:rPr>
          <w:sz w:val="24"/>
          <w:szCs w:val="24"/>
        </w:rPr>
        <w:t>Польщі</w:t>
      </w:r>
      <w:r w:rsidRPr="00267467">
        <w:rPr>
          <w:sz w:val="24"/>
          <w:szCs w:val="24"/>
        </w:rPr>
        <w:t>:</w:t>
      </w:r>
      <w:r w:rsidR="00267467">
        <w:rPr>
          <w:sz w:val="24"/>
          <w:szCs w:val="24"/>
        </w:rPr>
        <w:br/>
      </w:r>
    </w:p>
    <w:p w:rsidR="007933D1" w:rsidRPr="00267467" w:rsidRDefault="007933D1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 xml:space="preserve">утриматися від проведення будь-якої реформи, яка може поставити під загрозу повагу до верховенства права, зокрема, незалежність судової влади, і, у цьому контексті, утриматися від внесення змін до Закону «Про Національну раду </w:t>
      </w:r>
      <w:r w:rsidR="00CD590A">
        <w:rPr>
          <w:sz w:val="24"/>
          <w:szCs w:val="24"/>
        </w:rPr>
        <w:t>правосуддя</w:t>
      </w:r>
      <w:r w:rsidRPr="00267467">
        <w:rPr>
          <w:sz w:val="24"/>
          <w:szCs w:val="24"/>
        </w:rPr>
        <w:t>» таким чином, щоб змінити процедуру призначення суддів-членів Ради та встановити політичний контроль над процесом</w:t>
      </w:r>
      <w:r w:rsidR="0008446E">
        <w:rPr>
          <w:sz w:val="24"/>
          <w:szCs w:val="24"/>
        </w:rPr>
        <w:t> </w:t>
      </w:r>
      <w:r w:rsidRPr="00267467">
        <w:rPr>
          <w:sz w:val="24"/>
          <w:szCs w:val="24"/>
        </w:rPr>
        <w:t>призначення</w:t>
      </w:r>
      <w:r w:rsidR="0008446E">
        <w:rPr>
          <w:sz w:val="24"/>
          <w:szCs w:val="24"/>
        </w:rPr>
        <w:t> </w:t>
      </w:r>
      <w:r w:rsidRPr="00267467">
        <w:rPr>
          <w:sz w:val="24"/>
          <w:szCs w:val="24"/>
        </w:rPr>
        <w:t>суддів-членів</w:t>
      </w:r>
      <w:r w:rsidR="0008446E">
        <w:rPr>
          <w:sz w:val="24"/>
          <w:szCs w:val="24"/>
        </w:rPr>
        <w:t> </w:t>
      </w:r>
      <w:r w:rsidRPr="00267467">
        <w:rPr>
          <w:sz w:val="24"/>
          <w:szCs w:val="24"/>
        </w:rPr>
        <w:t>Ради;</w:t>
      </w:r>
      <w:r w:rsidR="00267467">
        <w:rPr>
          <w:sz w:val="24"/>
          <w:szCs w:val="24"/>
        </w:rPr>
        <w:br/>
      </w:r>
    </w:p>
    <w:p w:rsidR="007933D1" w:rsidRPr="00AE1AB4" w:rsidRDefault="007933D1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забезпечити, щоб реформа правосуддя, яка зараз проводиться, відповідала стандартам Ради Європи щодо верховенства права, демократії та прав людини, і в цьому контексті утримуватися від впровадження будь-яких правових положень, які б припиняли термін повноважень суддів-членів Національної ради</w:t>
      </w:r>
      <w:r w:rsidR="00CD590A">
        <w:rPr>
          <w:sz w:val="24"/>
          <w:szCs w:val="24"/>
        </w:rPr>
        <w:t xml:space="preserve"> правосуддя</w:t>
      </w:r>
      <w:r w:rsidRPr="00267467">
        <w:rPr>
          <w:sz w:val="24"/>
          <w:szCs w:val="24"/>
        </w:rPr>
        <w:t xml:space="preserve"> Польщі або Першого Голови Верховного Суду;</w:t>
      </w:r>
    </w:p>
    <w:p w:rsidR="00AE1AB4" w:rsidRPr="00267467" w:rsidRDefault="00AE1AB4" w:rsidP="00AE1AB4">
      <w:pPr>
        <w:pStyle w:val="a3"/>
        <w:spacing w:after="174" w:line="240" w:lineRule="auto"/>
        <w:ind w:left="1789" w:firstLine="0"/>
        <w:rPr>
          <w:sz w:val="24"/>
          <w:szCs w:val="24"/>
        </w:rPr>
      </w:pPr>
    </w:p>
    <w:p w:rsidR="007933D1" w:rsidRPr="00267467" w:rsidRDefault="00F46D43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B35EF8">
        <w:rPr>
          <w:color w:val="000000" w:themeColor="text1"/>
          <w:sz w:val="24"/>
          <w:szCs w:val="24"/>
        </w:rPr>
        <w:t>в</w:t>
      </w:r>
      <w:r w:rsidR="007933D1" w:rsidRPr="00B35EF8">
        <w:rPr>
          <w:color w:val="000000" w:themeColor="text1"/>
          <w:sz w:val="24"/>
          <w:szCs w:val="24"/>
        </w:rPr>
        <w:t xml:space="preserve">себічно співпрацювати </w:t>
      </w:r>
      <w:r w:rsidR="007933D1" w:rsidRPr="00267467">
        <w:rPr>
          <w:sz w:val="24"/>
          <w:szCs w:val="24"/>
        </w:rPr>
        <w:t>з Венеціанською комісією та виконувати рекомендації, особливо ті, що стосуються складу та функціонування Конституційного</w:t>
      </w:r>
      <w:r w:rsidR="0008446E">
        <w:rPr>
          <w:sz w:val="24"/>
          <w:szCs w:val="24"/>
        </w:rPr>
        <w:t> </w:t>
      </w:r>
      <w:r w:rsidR="00B35EF8">
        <w:rPr>
          <w:sz w:val="24"/>
          <w:szCs w:val="24"/>
        </w:rPr>
        <w:t>С</w:t>
      </w:r>
      <w:r w:rsidR="007933D1" w:rsidRPr="00267467">
        <w:rPr>
          <w:sz w:val="24"/>
          <w:szCs w:val="24"/>
        </w:rPr>
        <w:t>уду.</w:t>
      </w:r>
      <w:r w:rsidR="00267467">
        <w:rPr>
          <w:sz w:val="24"/>
          <w:szCs w:val="24"/>
        </w:rPr>
        <w:br/>
      </w:r>
    </w:p>
    <w:p w:rsidR="007933D1" w:rsidRPr="00AE1AB4" w:rsidRDefault="007933D1" w:rsidP="00267467">
      <w:pPr>
        <w:pStyle w:val="a3"/>
        <w:numPr>
          <w:ilvl w:val="0"/>
          <w:numId w:val="1"/>
        </w:numPr>
        <w:spacing w:after="169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 xml:space="preserve">Асамблея просить Венеціанську комісію надати висновок стосовно відповідності стандартам Ради Європи у сфері верховенства права Закону «Про організацію польських загальних судів» від 12 липня 2017 року, а також двох законопроектів, нещодавно поданих до Сейму Президентом Республіки, про внесення змін до Закону «Про Національну раду </w:t>
      </w:r>
      <w:r w:rsidR="00B35EF8">
        <w:rPr>
          <w:sz w:val="24"/>
          <w:szCs w:val="24"/>
        </w:rPr>
        <w:t>правосуддя</w:t>
      </w:r>
      <w:r w:rsidRPr="00267467">
        <w:rPr>
          <w:sz w:val="24"/>
          <w:szCs w:val="24"/>
        </w:rPr>
        <w:t xml:space="preserve">» та Закону «Про Верховний </w:t>
      </w:r>
      <w:r w:rsidR="00B35EF8">
        <w:rPr>
          <w:sz w:val="24"/>
          <w:szCs w:val="24"/>
        </w:rPr>
        <w:t>С</w:t>
      </w:r>
      <w:r w:rsidRPr="00267467">
        <w:rPr>
          <w:sz w:val="24"/>
          <w:szCs w:val="24"/>
        </w:rPr>
        <w:t>уд».</w:t>
      </w:r>
    </w:p>
    <w:p w:rsidR="00AE1AB4" w:rsidRPr="00AE1AB4" w:rsidRDefault="00AE1AB4" w:rsidP="00AE1AB4">
      <w:pPr>
        <w:pStyle w:val="a3"/>
        <w:spacing w:after="169" w:line="240" w:lineRule="auto"/>
        <w:ind w:left="1069" w:firstLine="0"/>
        <w:rPr>
          <w:sz w:val="24"/>
          <w:szCs w:val="24"/>
          <w:lang w:val="ru-RU"/>
        </w:rPr>
      </w:pPr>
    </w:p>
    <w:p w:rsidR="007933D1" w:rsidRPr="00267467" w:rsidRDefault="007933D1" w:rsidP="00267467">
      <w:pPr>
        <w:pStyle w:val="a3"/>
        <w:numPr>
          <w:ilvl w:val="0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Асамблея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закликає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владу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Румунії:</w:t>
      </w:r>
      <w:r w:rsidR="00267467">
        <w:rPr>
          <w:sz w:val="24"/>
          <w:szCs w:val="24"/>
        </w:rPr>
        <w:br/>
      </w:r>
    </w:p>
    <w:p w:rsidR="007933D1" w:rsidRPr="00AE1AB4" w:rsidRDefault="007933D1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сприяти належному публічному обговоренню конституційних критеріїв зняття депутатської недоторканності та прийняти чіткі критерії для цього, дотримуючись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рекомендацій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Венеціанської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комісії;</w:t>
      </w:r>
    </w:p>
    <w:p w:rsidR="00AE1AB4" w:rsidRPr="00267467" w:rsidRDefault="00AE1AB4" w:rsidP="00AE1AB4">
      <w:pPr>
        <w:pStyle w:val="a3"/>
        <w:spacing w:after="174" w:line="240" w:lineRule="auto"/>
        <w:ind w:left="1789" w:firstLine="0"/>
        <w:rPr>
          <w:sz w:val="24"/>
          <w:szCs w:val="24"/>
        </w:rPr>
      </w:pPr>
    </w:p>
    <w:p w:rsidR="007933D1" w:rsidRPr="00267467" w:rsidRDefault="003D770A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>
        <w:rPr>
          <w:sz w:val="24"/>
          <w:szCs w:val="24"/>
        </w:rPr>
        <w:t>я</w:t>
      </w:r>
      <w:r w:rsidR="007933D1" w:rsidRPr="00267467">
        <w:rPr>
          <w:sz w:val="24"/>
          <w:szCs w:val="24"/>
        </w:rPr>
        <w:t>кнайшвидше переглянути кримінальне законодавство, виконавши рішення Конституційного Суду, що визнав неконституційними значну кількість статей Кримінального та Кримінально</w:t>
      </w:r>
      <w:r w:rsidR="00B35EF8">
        <w:rPr>
          <w:sz w:val="24"/>
          <w:szCs w:val="24"/>
        </w:rPr>
        <w:t>-</w:t>
      </w:r>
      <w:r w:rsidR="007933D1" w:rsidRPr="00267467">
        <w:rPr>
          <w:sz w:val="24"/>
          <w:szCs w:val="24"/>
        </w:rPr>
        <w:t>процесуального кодексів, зокрема щодо боротьби з корупцією та зловживанням владою, а також виконавши рекомендації Венеціанської комісії та ГРЕКО;</w:t>
      </w:r>
      <w:r w:rsidR="00267467">
        <w:rPr>
          <w:sz w:val="24"/>
          <w:szCs w:val="24"/>
        </w:rPr>
        <w:br/>
      </w:r>
    </w:p>
    <w:p w:rsidR="007933D1" w:rsidRPr="00AE1AB4" w:rsidRDefault="007933D1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lastRenderedPageBreak/>
        <w:t>забезпечити дотримання принципу поділу влади урядом і органів правосуддя в частині повноважень парламенту, особливо утримуючись від зловживання прийняттям термінових постанов;</w:t>
      </w:r>
    </w:p>
    <w:p w:rsidR="00AE1AB4" w:rsidRPr="00267467" w:rsidRDefault="00AE1AB4" w:rsidP="00AE1AB4">
      <w:pPr>
        <w:pStyle w:val="a3"/>
        <w:spacing w:after="174" w:line="240" w:lineRule="auto"/>
        <w:ind w:left="1789" w:firstLine="0"/>
        <w:rPr>
          <w:sz w:val="24"/>
          <w:szCs w:val="24"/>
        </w:rPr>
      </w:pPr>
    </w:p>
    <w:p w:rsidR="007933D1" w:rsidRPr="00267467" w:rsidRDefault="007933D1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підтримувати політично і фінансово визначну роботу Національного антикорупційного директорату, поважаючи правову базу та необхідність ефективної боротьби з корупцією та зловживанням владою;</w:t>
      </w:r>
      <w:r w:rsidR="00267467">
        <w:rPr>
          <w:sz w:val="24"/>
          <w:szCs w:val="24"/>
        </w:rPr>
        <w:br/>
      </w:r>
    </w:p>
    <w:p w:rsidR="007933D1" w:rsidRPr="00267467" w:rsidRDefault="007933D1" w:rsidP="00267467">
      <w:pPr>
        <w:pStyle w:val="a3"/>
        <w:numPr>
          <w:ilvl w:val="1"/>
          <w:numId w:val="1"/>
        </w:numPr>
        <w:spacing w:after="174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забезпечити, щоб усі політичні партії поважали важливу роль і повноваження Конституційного Суду та Національної антикорупційної дирекції.</w:t>
      </w:r>
      <w:r w:rsidR="00267467">
        <w:rPr>
          <w:sz w:val="24"/>
          <w:szCs w:val="24"/>
        </w:rPr>
        <w:br/>
      </w:r>
    </w:p>
    <w:p w:rsidR="007933D1" w:rsidRPr="00267467" w:rsidRDefault="007933D1" w:rsidP="0026746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 xml:space="preserve">Посилаючись </w:t>
      </w:r>
      <w:r w:rsidRPr="00917117">
        <w:rPr>
          <w:sz w:val="24"/>
          <w:szCs w:val="24"/>
        </w:rPr>
        <w:t xml:space="preserve">на </w:t>
      </w:r>
      <w:hyperlink r:id="rId20" w:history="1">
        <w:r w:rsidRPr="00917117">
          <w:rPr>
            <w:rStyle w:val="a7"/>
            <w:sz w:val="24"/>
            <w:szCs w:val="24"/>
            <w:u w:val="none"/>
          </w:rPr>
          <w:t>Резолюцію 2156 (2017)</w:t>
        </w:r>
      </w:hyperlink>
      <w:r w:rsidRPr="00917117">
        <w:rPr>
          <w:sz w:val="24"/>
          <w:szCs w:val="24"/>
        </w:rPr>
        <w:t xml:space="preserve"> про функціонування демо</w:t>
      </w:r>
      <w:r w:rsidRPr="00267467">
        <w:rPr>
          <w:sz w:val="24"/>
          <w:szCs w:val="24"/>
        </w:rPr>
        <w:t xml:space="preserve">кратичних </w:t>
      </w:r>
      <w:r w:rsidR="00C3311F">
        <w:rPr>
          <w:sz w:val="24"/>
          <w:szCs w:val="24"/>
        </w:rPr>
        <w:t>інститутів</w:t>
      </w:r>
      <w:r w:rsidRPr="00267467">
        <w:rPr>
          <w:sz w:val="24"/>
          <w:szCs w:val="24"/>
        </w:rPr>
        <w:t xml:space="preserve"> у Туреччині, Асамблея ще раз висловлює своє глибоке занепокоєння обсягом заходів, вжитих </w:t>
      </w:r>
      <w:r w:rsidR="00C3311F">
        <w:rPr>
          <w:sz w:val="24"/>
          <w:szCs w:val="24"/>
        </w:rPr>
        <w:t>у</w:t>
      </w:r>
      <w:r w:rsidRPr="00267467">
        <w:rPr>
          <w:sz w:val="24"/>
          <w:szCs w:val="24"/>
        </w:rPr>
        <w:t xml:space="preserve"> рамках надзвичайного стану, та поправок до Конституції, ухвалених Великими національними зборами 21 січня 2017 року і схвалених на національному референдумі 16 квітня 2017 року. Тому вона закликає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владу</w:t>
      </w:r>
      <w:r w:rsidR="00267467">
        <w:rPr>
          <w:sz w:val="24"/>
          <w:szCs w:val="24"/>
        </w:rPr>
        <w:t> </w:t>
      </w:r>
      <w:r w:rsidRPr="00267467">
        <w:rPr>
          <w:sz w:val="24"/>
          <w:szCs w:val="24"/>
        </w:rPr>
        <w:t>Туреччини:</w:t>
      </w:r>
      <w:r w:rsidR="00267467">
        <w:rPr>
          <w:sz w:val="24"/>
          <w:szCs w:val="24"/>
        </w:rPr>
        <w:br/>
      </w:r>
    </w:p>
    <w:p w:rsidR="00267467" w:rsidRPr="00267467" w:rsidRDefault="00267467" w:rsidP="00267467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я</w:t>
      </w:r>
      <w:r w:rsidR="007933D1" w:rsidRPr="00267467">
        <w:rPr>
          <w:sz w:val="24"/>
          <w:szCs w:val="24"/>
        </w:rPr>
        <w:t>кнайшвидше</w:t>
      </w:r>
      <w:r>
        <w:rPr>
          <w:sz w:val="24"/>
          <w:szCs w:val="24"/>
        </w:rPr>
        <w:t> </w:t>
      </w:r>
      <w:r w:rsidR="007933D1" w:rsidRPr="00267467">
        <w:rPr>
          <w:sz w:val="24"/>
          <w:szCs w:val="24"/>
        </w:rPr>
        <w:t>скасувати</w:t>
      </w:r>
      <w:r>
        <w:rPr>
          <w:sz w:val="24"/>
          <w:szCs w:val="24"/>
        </w:rPr>
        <w:t> </w:t>
      </w:r>
      <w:r w:rsidR="007933D1" w:rsidRPr="00267467">
        <w:rPr>
          <w:sz w:val="24"/>
          <w:szCs w:val="24"/>
        </w:rPr>
        <w:t>надзвичайний</w:t>
      </w:r>
      <w:r>
        <w:rPr>
          <w:sz w:val="24"/>
          <w:szCs w:val="24"/>
        </w:rPr>
        <w:t> </w:t>
      </w:r>
      <w:r w:rsidR="007933D1" w:rsidRPr="00267467">
        <w:rPr>
          <w:sz w:val="24"/>
          <w:szCs w:val="24"/>
        </w:rPr>
        <w:t>стан;</w:t>
      </w:r>
      <w:r>
        <w:rPr>
          <w:sz w:val="24"/>
          <w:szCs w:val="24"/>
        </w:rPr>
        <w:br/>
      </w:r>
    </w:p>
    <w:p w:rsidR="00267467" w:rsidRPr="00267467" w:rsidRDefault="00267467" w:rsidP="00267467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 xml:space="preserve">переглянути конституційні поправки, затверджені на референдумі від 16 квітня 2017 року відповідно до Висновку №. 875/2017 Венеціанської комісії з тим, щоб знову було забезпечено ефективний поділ влади, особливо щодо парламенту та Конституційного </w:t>
      </w:r>
      <w:r w:rsidR="00C3311F">
        <w:rPr>
          <w:sz w:val="24"/>
          <w:szCs w:val="24"/>
        </w:rPr>
        <w:t>С</w:t>
      </w:r>
      <w:r w:rsidRPr="00267467">
        <w:rPr>
          <w:sz w:val="24"/>
          <w:szCs w:val="24"/>
        </w:rPr>
        <w:t>уду;</w:t>
      </w:r>
      <w:r>
        <w:rPr>
          <w:sz w:val="24"/>
          <w:szCs w:val="24"/>
        </w:rPr>
        <w:br/>
      </w:r>
    </w:p>
    <w:p w:rsidR="00267467" w:rsidRPr="00267467" w:rsidRDefault="00267467" w:rsidP="00267467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 xml:space="preserve">забезпечити, щоб усі закони про надзвичайний стан, прийняті урядом в умовах надзвичайного стану, були схвалені парламентом і щоб їх конституційність могла бути перевірена Конституційним </w:t>
      </w:r>
      <w:r w:rsidR="00C3311F">
        <w:rPr>
          <w:sz w:val="24"/>
          <w:szCs w:val="24"/>
        </w:rPr>
        <w:t>С</w:t>
      </w:r>
      <w:r w:rsidRPr="00267467">
        <w:rPr>
          <w:sz w:val="24"/>
          <w:szCs w:val="24"/>
        </w:rPr>
        <w:t>удом;</w:t>
      </w:r>
      <w:r>
        <w:rPr>
          <w:sz w:val="24"/>
          <w:szCs w:val="24"/>
        </w:rPr>
        <w:br/>
      </w:r>
    </w:p>
    <w:p w:rsidR="00267467" w:rsidRPr="00267467" w:rsidRDefault="00267467" w:rsidP="00267467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негайно припинити колективне звільнення суддів і прокурорів, а також інших державних службовців за допомогою підзаконних актів і забезпечити тим, хто вже був звільнений, перегляд їхніх справ «судом», що виконує вимоги ст. 6 Європейської конвенції з прав людини.</w:t>
      </w:r>
      <w:r>
        <w:rPr>
          <w:sz w:val="24"/>
          <w:szCs w:val="24"/>
        </w:rPr>
        <w:br/>
      </w:r>
    </w:p>
    <w:p w:rsidR="00267467" w:rsidRPr="00333709" w:rsidRDefault="00267467" w:rsidP="00267467">
      <w:pPr>
        <w:pStyle w:val="a3"/>
        <w:numPr>
          <w:ilvl w:val="0"/>
          <w:numId w:val="1"/>
        </w:numPr>
        <w:spacing w:after="169"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 xml:space="preserve">Парламентська асамблея </w:t>
      </w:r>
      <w:r w:rsidRPr="00917117">
        <w:rPr>
          <w:sz w:val="24"/>
          <w:szCs w:val="24"/>
        </w:rPr>
        <w:t xml:space="preserve">посилається на свою </w:t>
      </w:r>
      <w:hyperlink r:id="rId21" w:history="1">
        <w:r w:rsidRPr="00917117">
          <w:rPr>
            <w:rStyle w:val="a7"/>
            <w:sz w:val="24"/>
            <w:szCs w:val="24"/>
            <w:u w:val="none"/>
          </w:rPr>
          <w:t>Резолюцію 2178 (2017)</w:t>
        </w:r>
      </w:hyperlink>
      <w:r w:rsidRPr="00917117">
        <w:rPr>
          <w:sz w:val="24"/>
          <w:szCs w:val="24"/>
        </w:rPr>
        <w:t xml:space="preserve"> про </w:t>
      </w:r>
      <w:r w:rsidRPr="00267467">
        <w:rPr>
          <w:sz w:val="24"/>
          <w:szCs w:val="24"/>
        </w:rPr>
        <w:t>виконання рішень Європейського суду з прав людини, а також закликає держави-члени Ради Європи повністю виконувати ці рішення та нада</w:t>
      </w:r>
      <w:r w:rsidR="00C3311F">
        <w:rPr>
          <w:sz w:val="24"/>
          <w:szCs w:val="24"/>
        </w:rPr>
        <w:t>ва</w:t>
      </w:r>
      <w:r w:rsidRPr="00267467">
        <w:rPr>
          <w:sz w:val="24"/>
          <w:szCs w:val="24"/>
        </w:rPr>
        <w:t>ти політичний пріоритет тим з них, які вказують на серйозну потребу у проведенні все</w:t>
      </w:r>
      <w:r w:rsidR="00C3311F">
        <w:rPr>
          <w:sz w:val="24"/>
          <w:szCs w:val="24"/>
        </w:rPr>
        <w:t>осяжних</w:t>
      </w:r>
      <w:r w:rsidRPr="00267467">
        <w:rPr>
          <w:sz w:val="24"/>
          <w:szCs w:val="24"/>
        </w:rPr>
        <w:t xml:space="preserve"> реформ судової системи. Асамблея глибоко стурбована тим фактом, що окремі держави-члени проводять дискусії та впроваджують правові механізми задля того,</w:t>
      </w:r>
      <w:r>
        <w:rPr>
          <w:sz w:val="24"/>
          <w:szCs w:val="24"/>
        </w:rPr>
        <w:t> </w:t>
      </w:r>
      <w:r w:rsidRPr="00267467">
        <w:rPr>
          <w:sz w:val="24"/>
          <w:szCs w:val="24"/>
        </w:rPr>
        <w:t>щоб</w:t>
      </w:r>
      <w:r>
        <w:rPr>
          <w:sz w:val="24"/>
          <w:szCs w:val="24"/>
        </w:rPr>
        <w:t> </w:t>
      </w:r>
      <w:r w:rsidRPr="00267467">
        <w:rPr>
          <w:sz w:val="24"/>
          <w:szCs w:val="24"/>
        </w:rPr>
        <w:t>уникнути</w:t>
      </w:r>
      <w:r>
        <w:rPr>
          <w:sz w:val="24"/>
          <w:szCs w:val="24"/>
        </w:rPr>
        <w:t> </w:t>
      </w:r>
      <w:r w:rsidRPr="00267467">
        <w:rPr>
          <w:sz w:val="24"/>
          <w:szCs w:val="24"/>
        </w:rPr>
        <w:t>виконання</w:t>
      </w:r>
      <w:r>
        <w:rPr>
          <w:sz w:val="24"/>
          <w:szCs w:val="24"/>
        </w:rPr>
        <w:t> </w:t>
      </w:r>
      <w:r w:rsidRPr="00267467">
        <w:rPr>
          <w:sz w:val="24"/>
          <w:szCs w:val="24"/>
        </w:rPr>
        <w:t>рішень</w:t>
      </w:r>
      <w:r>
        <w:rPr>
          <w:sz w:val="24"/>
          <w:szCs w:val="24"/>
        </w:rPr>
        <w:t> </w:t>
      </w:r>
      <w:r w:rsidRPr="00267467">
        <w:rPr>
          <w:sz w:val="24"/>
          <w:szCs w:val="24"/>
        </w:rPr>
        <w:t>ЄСПЛ.</w:t>
      </w:r>
    </w:p>
    <w:p w:rsidR="00333709" w:rsidRPr="00267467" w:rsidRDefault="00333709" w:rsidP="00333709">
      <w:pPr>
        <w:pStyle w:val="a3"/>
        <w:spacing w:after="169" w:line="240" w:lineRule="auto"/>
        <w:ind w:left="1069" w:firstLine="0"/>
        <w:rPr>
          <w:sz w:val="24"/>
          <w:szCs w:val="24"/>
        </w:rPr>
      </w:pPr>
    </w:p>
    <w:p w:rsidR="00D340B6" w:rsidRPr="00333709" w:rsidRDefault="00267467" w:rsidP="00333709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67467">
        <w:rPr>
          <w:sz w:val="24"/>
          <w:szCs w:val="24"/>
        </w:rPr>
        <w:t>Асамблея закликає держави-члени сприяти правовій та політичній культурі, яка націлена на забезпечення верховенства права відповідно до основоположних принципів усіх стандартів Ради Європи.</w:t>
      </w:r>
    </w:p>
    <w:sectPr w:rsidR="00D340B6" w:rsidRPr="003337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4F" w:rsidRDefault="00F30E4F" w:rsidP="0008446E">
      <w:pPr>
        <w:spacing w:line="240" w:lineRule="auto"/>
      </w:pPr>
      <w:r>
        <w:separator/>
      </w:r>
    </w:p>
  </w:endnote>
  <w:endnote w:type="continuationSeparator" w:id="0">
    <w:p w:rsidR="00F30E4F" w:rsidRDefault="00F30E4F" w:rsidP="00084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4F" w:rsidRDefault="00F30E4F" w:rsidP="0008446E">
      <w:pPr>
        <w:spacing w:line="240" w:lineRule="auto"/>
      </w:pPr>
      <w:r>
        <w:separator/>
      </w:r>
    </w:p>
  </w:footnote>
  <w:footnote w:type="continuationSeparator" w:id="0">
    <w:p w:rsidR="00F30E4F" w:rsidRDefault="00F30E4F" w:rsidP="0008446E">
      <w:pPr>
        <w:spacing w:line="240" w:lineRule="auto"/>
      </w:pPr>
      <w:r>
        <w:continuationSeparator/>
      </w:r>
    </w:p>
  </w:footnote>
  <w:footnote w:id="1">
    <w:p w:rsidR="00754C69" w:rsidRPr="007001CC" w:rsidRDefault="0008446E" w:rsidP="00754C69">
      <w:pPr>
        <w:pStyle w:val="a4"/>
        <w:rPr>
          <w:sz w:val="24"/>
          <w:szCs w:val="24"/>
        </w:rPr>
      </w:pPr>
      <w:r w:rsidRPr="007001CC">
        <w:rPr>
          <w:rStyle w:val="a6"/>
          <w:sz w:val="24"/>
          <w:szCs w:val="24"/>
        </w:rPr>
        <w:footnoteRef/>
      </w:r>
      <w:r w:rsidRPr="007001CC">
        <w:rPr>
          <w:sz w:val="24"/>
          <w:szCs w:val="24"/>
        </w:rPr>
        <w:t xml:space="preserve"> </w:t>
      </w:r>
      <w:r w:rsidR="00754C69" w:rsidRPr="007001CC">
        <w:rPr>
          <w:i/>
          <w:iCs/>
          <w:sz w:val="24"/>
          <w:szCs w:val="24"/>
        </w:rPr>
        <w:t>Дебати Асамблеї</w:t>
      </w:r>
      <w:r w:rsidR="00754C69" w:rsidRPr="007001CC">
        <w:rPr>
          <w:sz w:val="24"/>
          <w:szCs w:val="24"/>
        </w:rPr>
        <w:t xml:space="preserve"> від 11 жовтня 2017 року (33 засідання) (див. </w:t>
      </w:r>
      <w:hyperlink r:id="rId1" w:history="1">
        <w:r w:rsidR="00754C69" w:rsidRPr="007001CC">
          <w:rPr>
            <w:rStyle w:val="a7"/>
            <w:sz w:val="24"/>
            <w:szCs w:val="24"/>
            <w:u w:val="none"/>
          </w:rPr>
          <w:t>Док. 14405</w:t>
        </w:r>
      </w:hyperlink>
      <w:r w:rsidR="00754C69" w:rsidRPr="007001CC">
        <w:rPr>
          <w:sz w:val="24"/>
          <w:szCs w:val="24"/>
        </w:rPr>
        <w:t xml:space="preserve">, доповідь Комітету з юридичних питань та прав людини, доповідач: пан </w:t>
      </w:r>
      <w:proofErr w:type="spellStart"/>
      <w:r w:rsidR="00754C69" w:rsidRPr="007001CC">
        <w:rPr>
          <w:sz w:val="24"/>
          <w:szCs w:val="24"/>
        </w:rPr>
        <w:t>Бернд</w:t>
      </w:r>
      <w:proofErr w:type="spellEnd"/>
      <w:r w:rsidR="00754C69" w:rsidRPr="007001CC">
        <w:rPr>
          <w:sz w:val="24"/>
          <w:szCs w:val="24"/>
        </w:rPr>
        <w:t xml:space="preserve"> </w:t>
      </w:r>
      <w:proofErr w:type="spellStart"/>
      <w:r w:rsidR="00754C69" w:rsidRPr="007001CC">
        <w:rPr>
          <w:sz w:val="24"/>
          <w:szCs w:val="24"/>
        </w:rPr>
        <w:t>Фабріциус</w:t>
      </w:r>
      <w:proofErr w:type="spellEnd"/>
      <w:r w:rsidR="00754C69" w:rsidRPr="007001CC">
        <w:rPr>
          <w:sz w:val="24"/>
          <w:szCs w:val="24"/>
        </w:rPr>
        <w:t xml:space="preserve">). </w:t>
      </w:r>
      <w:r w:rsidR="00754C69" w:rsidRPr="007001CC">
        <w:rPr>
          <w:i/>
          <w:iCs/>
          <w:sz w:val="24"/>
          <w:szCs w:val="24"/>
        </w:rPr>
        <w:t>Текст прийнятий Асамблеєю</w:t>
      </w:r>
      <w:r w:rsidR="00754C69" w:rsidRPr="007001CC">
        <w:rPr>
          <w:sz w:val="24"/>
          <w:szCs w:val="24"/>
        </w:rPr>
        <w:t xml:space="preserve"> 11 жовтня 2017 року</w:t>
      </w:r>
      <w:r w:rsidR="007001CC" w:rsidRPr="007001CC">
        <w:rPr>
          <w:sz w:val="24"/>
          <w:szCs w:val="24"/>
        </w:rPr>
        <w:t xml:space="preserve"> </w:t>
      </w:r>
      <w:r w:rsidR="00754C69" w:rsidRPr="007001CC">
        <w:rPr>
          <w:sz w:val="24"/>
          <w:szCs w:val="24"/>
        </w:rPr>
        <w:t>(33 засідання).</w:t>
      </w:r>
    </w:p>
    <w:p w:rsidR="0008446E" w:rsidRDefault="0008446E">
      <w:pPr>
        <w:pStyle w:val="a4"/>
      </w:pPr>
    </w:p>
    <w:p w:rsidR="0008446E" w:rsidRDefault="0008446E">
      <w:pPr>
        <w:pStyle w:val="a4"/>
      </w:pPr>
    </w:p>
    <w:p w:rsidR="0008446E" w:rsidRDefault="0008446E" w:rsidP="0008446E">
      <w:pPr>
        <w:pStyle w:val="a4"/>
        <w:ind w:firstLine="0"/>
      </w:pPr>
      <w:r>
        <w:rPr>
          <w:noProof/>
        </w:rPr>
        <w:drawing>
          <wp:inline distT="0" distB="0" distL="0" distR="0" wp14:anchorId="2E9FB8B5" wp14:editId="407DCBC0">
            <wp:extent cx="540000" cy="540000"/>
            <wp:effectExtent l="0" t="0" r="0" b="0"/>
            <wp:docPr id="734" name="Picture 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Picture 7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30501"/>
    <w:multiLevelType w:val="multilevel"/>
    <w:tmpl w:val="43FED6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51212D2"/>
    <w:multiLevelType w:val="hybridMultilevel"/>
    <w:tmpl w:val="7FBA682A"/>
    <w:lvl w:ilvl="0" w:tplc="73AE73D8">
      <w:start w:val="1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24402C"/>
    <w:multiLevelType w:val="hybridMultilevel"/>
    <w:tmpl w:val="CD00213E"/>
    <w:lvl w:ilvl="0" w:tplc="ADBC9A4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B6"/>
    <w:rsid w:val="0008446E"/>
    <w:rsid w:val="00093F30"/>
    <w:rsid w:val="002225B1"/>
    <w:rsid w:val="00255B30"/>
    <w:rsid w:val="00267467"/>
    <w:rsid w:val="00333709"/>
    <w:rsid w:val="003D770A"/>
    <w:rsid w:val="003F51DC"/>
    <w:rsid w:val="006A5D6A"/>
    <w:rsid w:val="007001CC"/>
    <w:rsid w:val="00754C69"/>
    <w:rsid w:val="007933D1"/>
    <w:rsid w:val="008824A7"/>
    <w:rsid w:val="00917117"/>
    <w:rsid w:val="0097074E"/>
    <w:rsid w:val="00A12942"/>
    <w:rsid w:val="00A45E34"/>
    <w:rsid w:val="00AA3DB6"/>
    <w:rsid w:val="00AE1AB4"/>
    <w:rsid w:val="00B017C6"/>
    <w:rsid w:val="00B35EF8"/>
    <w:rsid w:val="00B97E86"/>
    <w:rsid w:val="00C3311F"/>
    <w:rsid w:val="00CD590A"/>
    <w:rsid w:val="00D340B6"/>
    <w:rsid w:val="00D442BA"/>
    <w:rsid w:val="00D73451"/>
    <w:rsid w:val="00F30E4F"/>
    <w:rsid w:val="00F46D43"/>
    <w:rsid w:val="00F8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like"/>
    <w:qFormat/>
    <w:rsid w:val="00F84DF6"/>
    <w:pPr>
      <w:spacing w:line="360" w:lineRule="auto"/>
      <w:ind w:firstLine="709"/>
      <w:jc w:val="both"/>
    </w:pPr>
    <w:rPr>
      <w:rFonts w:ascii="Times New Roman" w:hAnsi="Times New Roman" w:cs="Arial"/>
      <w:kern w:val="0"/>
      <w:sz w:val="28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D73451"/>
    <w:pPr>
      <w:keepNext/>
      <w:keepLines/>
      <w:spacing w:before="240" w:line="240" w:lineRule="auto"/>
      <w:ind w:firstLine="0"/>
      <w:jc w:val="left"/>
      <w:outlineLvl w:val="0"/>
    </w:pPr>
    <w:rPr>
      <w:rFonts w:eastAsiaTheme="majorEastAsia" w:cstheme="majorBidi"/>
      <w:color w:val="000000" w:themeColor="text1"/>
      <w:kern w:val="2"/>
      <w:szCs w:val="32"/>
      <w:lang w:val="ru-RU"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451"/>
    <w:rPr>
      <w:rFonts w:ascii="Times New Roman" w:eastAsiaTheme="majorEastAsia" w:hAnsi="Times New Roman" w:cstheme="majorBidi"/>
      <w:color w:val="000000" w:themeColor="text1"/>
      <w:sz w:val="28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340B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8446E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446E"/>
    <w:rPr>
      <w:rFonts w:ascii="Times New Roman" w:hAnsi="Times New Roman" w:cs="Arial"/>
      <w:kern w:val="0"/>
      <w:sz w:val="20"/>
      <w:szCs w:val="20"/>
      <w:lang w:val="uk-UA" w:eastAsia="uk-UA"/>
      <w14:ligatures w14:val="none"/>
    </w:rPr>
  </w:style>
  <w:style w:type="character" w:styleId="a6">
    <w:name w:val="footnote reference"/>
    <w:basedOn w:val="a0"/>
    <w:uiPriority w:val="99"/>
    <w:semiHidden/>
    <w:unhideWhenUsed/>
    <w:rsid w:val="0008446E"/>
    <w:rPr>
      <w:vertAlign w:val="superscript"/>
    </w:rPr>
  </w:style>
  <w:style w:type="table" w:customStyle="1" w:styleId="TableGrid">
    <w:name w:val="TableGrid"/>
    <w:rsid w:val="0008446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9171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711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1711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5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51DC"/>
    <w:rPr>
      <w:rFonts w:ascii="Tahoma" w:hAnsi="Tahoma" w:cs="Tahoma"/>
      <w:kern w:val="0"/>
      <w:sz w:val="16"/>
      <w:szCs w:val="16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like"/>
    <w:qFormat/>
    <w:rsid w:val="00F84DF6"/>
    <w:pPr>
      <w:spacing w:line="360" w:lineRule="auto"/>
      <w:ind w:firstLine="709"/>
      <w:jc w:val="both"/>
    </w:pPr>
    <w:rPr>
      <w:rFonts w:ascii="Times New Roman" w:hAnsi="Times New Roman" w:cs="Arial"/>
      <w:kern w:val="0"/>
      <w:sz w:val="28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D73451"/>
    <w:pPr>
      <w:keepNext/>
      <w:keepLines/>
      <w:spacing w:before="240" w:line="240" w:lineRule="auto"/>
      <w:ind w:firstLine="0"/>
      <w:jc w:val="left"/>
      <w:outlineLvl w:val="0"/>
    </w:pPr>
    <w:rPr>
      <w:rFonts w:eastAsiaTheme="majorEastAsia" w:cstheme="majorBidi"/>
      <w:color w:val="000000" w:themeColor="text1"/>
      <w:kern w:val="2"/>
      <w:szCs w:val="32"/>
      <w:lang w:val="ru-RU"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451"/>
    <w:rPr>
      <w:rFonts w:ascii="Times New Roman" w:eastAsiaTheme="majorEastAsia" w:hAnsi="Times New Roman" w:cstheme="majorBidi"/>
      <w:color w:val="000000" w:themeColor="text1"/>
      <w:sz w:val="28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340B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8446E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446E"/>
    <w:rPr>
      <w:rFonts w:ascii="Times New Roman" w:hAnsi="Times New Roman" w:cs="Arial"/>
      <w:kern w:val="0"/>
      <w:sz w:val="20"/>
      <w:szCs w:val="20"/>
      <w:lang w:val="uk-UA" w:eastAsia="uk-UA"/>
      <w14:ligatures w14:val="none"/>
    </w:rPr>
  </w:style>
  <w:style w:type="character" w:styleId="a6">
    <w:name w:val="footnote reference"/>
    <w:basedOn w:val="a0"/>
    <w:uiPriority w:val="99"/>
    <w:semiHidden/>
    <w:unhideWhenUsed/>
    <w:rsid w:val="0008446E"/>
    <w:rPr>
      <w:vertAlign w:val="superscript"/>
    </w:rPr>
  </w:style>
  <w:style w:type="table" w:customStyle="1" w:styleId="TableGrid">
    <w:name w:val="TableGrid"/>
    <w:rsid w:val="0008446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9171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711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1711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5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51DC"/>
    <w:rPr>
      <w:rFonts w:ascii="Tahoma" w:hAnsi="Tahoma" w:cs="Tahoma"/>
      <w:kern w:val="0"/>
      <w:sz w:val="16"/>
      <w:szCs w:val="1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ce.coe.int/en/files/17805" TargetMode="External"/><Relationship Id="rId18" Type="http://schemas.openxmlformats.org/officeDocument/2006/relationships/hyperlink" Target="https://pace.coe.int/en/files/225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ce.coe.int/en/files/2398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ace.coe.int/en/files/21591" TargetMode="External"/><Relationship Id="rId17" Type="http://schemas.openxmlformats.org/officeDocument/2006/relationships/hyperlink" Target="https://pace.coe.int/en/files/225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ce.coe.int/en/files/19951" TargetMode="External"/><Relationship Id="rId20" Type="http://schemas.openxmlformats.org/officeDocument/2006/relationships/hyperlink" Target="https://pace.coe.int/en/files/2366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ce.coe.int/en/files/177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ce.coe.int/en/files/1994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ace.coe.int/en/files/17613" TargetMode="External"/><Relationship Id="rId19" Type="http://schemas.openxmlformats.org/officeDocument/2006/relationships/hyperlink" Target="https://pace.coe.int/en/files/2159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ace.coe.int/en/files/17806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pace.coe.int/en/files/24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707181-B9DC-4487-90B5-903A3C43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5636</Words>
  <Characters>3214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Баркевич</dc:creator>
  <cp:keywords/>
  <dc:description/>
  <cp:lastModifiedBy>Купач Дарина Андріївна</cp:lastModifiedBy>
  <cp:revision>14</cp:revision>
  <dcterms:created xsi:type="dcterms:W3CDTF">2024-01-24T12:28:00Z</dcterms:created>
  <dcterms:modified xsi:type="dcterms:W3CDTF">2024-02-22T09:44:00Z</dcterms:modified>
</cp:coreProperties>
</file>