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CA" w:rsidRPr="002C2F89" w:rsidRDefault="00E565CA" w:rsidP="00E565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2C2F89">
        <w:rPr>
          <w:rFonts w:ascii="Times New Roman" w:hAnsi="Times New Roman" w:cs="Times New Roman"/>
          <w:noProof/>
          <w:color w:val="000000" w:themeColor="text1"/>
          <w:kern w:val="2"/>
          <w:sz w:val="36"/>
          <w:szCs w:val="36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5CA" w:rsidRPr="002C2F89" w:rsidRDefault="00E565CA" w:rsidP="00E565CA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E565CA" w:rsidRPr="002C2F89" w:rsidRDefault="00E565CA" w:rsidP="00E565C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kern w:val="2"/>
          <w:sz w:val="36"/>
          <w:szCs w:val="36"/>
          <w:lang w:eastAsia="hi-IN" w:bidi="hi-IN"/>
        </w:rPr>
      </w:pPr>
      <w:r w:rsidRPr="002C2F89">
        <w:rPr>
          <w:rFonts w:ascii="Times New Roman" w:hAnsi="Times New Roman" w:cs="Times New Roman"/>
          <w:bCs/>
          <w:color w:val="000000" w:themeColor="text1"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E565CA" w:rsidRPr="002C2F89" w:rsidRDefault="00E565CA" w:rsidP="00E565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565CA" w:rsidRPr="002C2F89" w:rsidRDefault="00E565CA" w:rsidP="00E565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2F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14 липня 2025 року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м. Київ</w:t>
      </w:r>
    </w:p>
    <w:p w:rsidR="00E565CA" w:rsidRPr="002C2F89" w:rsidRDefault="00E565CA" w:rsidP="00E565C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633C4" w:rsidRPr="002C2F89" w:rsidRDefault="009633C4" w:rsidP="00E565C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565CA" w:rsidRPr="002C2F89" w:rsidRDefault="00E565CA" w:rsidP="00E565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C2F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2C2F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proofErr w:type="spellEnd"/>
      <w:r w:rsidRPr="002C2F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Я </w:t>
      </w:r>
      <w:r w:rsidR="002C2F89" w:rsidRPr="002C2F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2C2F89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="002C2F89"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2F89" w:rsidRPr="002C2F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1135/дс-25</w:t>
      </w:r>
    </w:p>
    <w:p w:rsidR="009633C4" w:rsidRPr="002C2F89" w:rsidRDefault="009633C4" w:rsidP="00E565C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65CA" w:rsidRPr="002C2F89" w:rsidRDefault="00E565CA" w:rsidP="00E565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Вища кваліфікаційна комісія суддів України у пленарному складі:</w:t>
      </w:r>
    </w:p>
    <w:p w:rsidR="00E565CA" w:rsidRPr="002C2F89" w:rsidRDefault="00E565CA" w:rsidP="00E565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головуючого –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Олексія ОМЕЛЬЯНА,</w:t>
      </w:r>
    </w:p>
    <w:p w:rsidR="00E565CA" w:rsidRPr="002C2F89" w:rsidRDefault="00E565CA" w:rsidP="00E565CA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членів Комісії: Михайла БОГОНОСА,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Людмили ВОЛКОВОЇ (доповідач), Віталія ГАЦЕЛЮКА, Ярослава ДУХА, </w:t>
      </w:r>
      <w:r w:rsidR="00AC46F6"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Романа КИДИСЮКА,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Олега КОЛІУША, Володимира ЛУГАНСЬКОГО, Руслана МЕЛЬНИКА, Руслана СИДОРОВИЧА, Сергія ЧУМАКА, Галини ШЕВЧУК,</w:t>
      </w:r>
    </w:p>
    <w:p w:rsidR="00E565CA" w:rsidRPr="002C2F89" w:rsidRDefault="00E565CA" w:rsidP="00E565CA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565CA" w:rsidRPr="002C2F89" w:rsidRDefault="00E565CA" w:rsidP="00E56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розглянувши питання про перегляд рішення Вищої кваліфікаційної комісії суддів України від 26 травня 2025 року № 851/дс-25 про відмову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Малічину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Олегу Миколайовичу в допуску до участі в доборі на посаду судді місцевого суду, оголошеному рішенням Комісії від 11 грудня 2024 року № 366/зп-24,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565CA" w:rsidRPr="002C2F89" w:rsidRDefault="00E565CA" w:rsidP="00E56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встановила: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 (далі – Оголошення).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Комісії звернувся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О.М. із заявою про участь у Доборі.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Комісією у складі колегії здійснено перевірку поданих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Малічиним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О.М. документів, зокрема, на предмет відповідності вимогам до їх оформлення.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  <w:t>За результатами розгляду цих документів рішенням Комісії у складі</w:t>
      </w:r>
      <w:r w:rsidR="001F26C5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колегії № 2 від 26 травня 2025 року № 851/дс-25 відмовлено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Малічину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О.М. у допуску до участі в Доборі.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Рішення мотивовано тим, що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О.М. </w:t>
      </w:r>
      <w:r w:rsidR="001F26C5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порушення вимог Закону України «Про судоустрій і статус суддів» (далі – Закон)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подав Витяг з інформаційно-аналітичної системи «Облік відомостей про притягнення особи до кримінальної відповідальності та наявності судимості» (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далі – Витяг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станом на </w:t>
      </w:r>
      <w:r w:rsidRPr="002C2F89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shd w:val="clear" w:color="auto" w:fill="FFFFFF"/>
        </w:rPr>
        <w:t xml:space="preserve">04 січня 2024 року, </w:t>
      </w:r>
      <w:r w:rsidR="001F26C5" w:rsidRPr="002C2F89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shd w:val="clear" w:color="auto" w:fill="FFFFFF"/>
        </w:rPr>
        <w:t>тоді</w:t>
      </w:r>
      <w:r w:rsidRPr="002C2F89">
        <w:rPr>
          <w:rFonts w:ascii="Times New Roman" w:hAnsi="Times New Roman" w:cs="Times New Roman"/>
          <w:color w:val="000000" w:themeColor="text1"/>
          <w:spacing w:val="10"/>
          <w:sz w:val="28"/>
          <w:szCs w:val="28"/>
          <w:shd w:val="clear" w:color="auto" w:fill="FFFFFF"/>
        </w:rPr>
        <w:t xml:space="preserve"> як такий документ мав бути отриманий не раніше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01 березня 2025 року. Вказане зумовило висновок Комісії про те, що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</w:t>
      </w:r>
      <w:proofErr w:type="spellEnd"/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О.М.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подав документа, який підтверджує його відповідність вимогам, передбаченим статтею 69 Закону, та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стало підставою для відмови йому в допуску до участі в Доборі.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Комісії 07 червня 2025 року надійшла заява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Малічина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О.М. про перегляд рішення Комісії у складі колегії, яким йому відмовлено в допуску до участі в Доборі. Заяву обґрунтовано тим, що відповідно до приписів статей 72, 73 Закону та підпункту 13.15.1 пункту 13 Оголошення ним було підготовлено відповідний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Витяг серії ФОВА-003560800 станом на 02 квітня 2025 року. Однак під час завантаження документів до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електронного кабінету суддівської кар’єри ним помилково обрано Витяг, сформований станом на 04 січня 2024 року</w:t>
      </w:r>
      <w:r w:rsidR="001F26C5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отриманий раніше. Заявник просить урахувати, що вказана помилка виникла виключно з технічних причин, адже підготовку документів доводилось здійснювати у вкрай складних умовах, </w:t>
      </w:r>
      <w:r w:rsidR="00681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ІНФОРМАЦІЯ_1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Окрім умов, </w:t>
      </w:r>
      <w:r w:rsidR="001F26C5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яких здійснювалось подання документів, заявник звертає увагу на те, що </w:t>
      </w:r>
      <w:r w:rsidRPr="002C2F8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uk-UA"/>
        </w:rPr>
        <w:t>він сумлінно виконав вимоги Комісії та завчасно сформував відповідний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Витяг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Заявник не заперечує допущення помилки під час завантаження документів до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електронного кабінету суддівської кар’єри, однак висловлює переконання, що така формальна похибка не може слугувати підставою для </w:t>
      </w:r>
      <w:r w:rsidRPr="002C2F89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uk-UA"/>
        </w:rPr>
        <w:t xml:space="preserve">відмови </w:t>
      </w:r>
      <w:r w:rsidR="001F26C5" w:rsidRPr="002C2F89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uk-UA"/>
        </w:rPr>
        <w:t>в</w:t>
      </w:r>
      <w:r w:rsidRPr="002C2F89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uk-UA"/>
        </w:rPr>
        <w:t xml:space="preserve"> допуску до участі в Доборі. На підтвердження повідомленої </w:t>
      </w:r>
      <w:r w:rsidR="001F26C5" w:rsidRPr="002C2F89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uk-UA"/>
        </w:rPr>
        <w:t>в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заяві інформації заявником додано Витяг, сформований станом на 02 квітня 2025</w:t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року. 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Спираючись на викладені обставини</w:t>
      </w:r>
      <w:r w:rsidR="001F26C5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О.М. просив переглянути рішення Комісії у складі колегії від 26 травня 2025 року № 851/дс-25 та допустити його до участі в Доборі.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засіданні Комісії 25 червня 2025 року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О.М. надав пояснення, аналогічні наведеним у заяві про перегляд рішення Комісії, просив допустити його до участі </w:t>
      </w:r>
      <w:r w:rsidR="001F26C5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Доборі. </w:t>
      </w:r>
    </w:p>
    <w:p w:rsidR="00E565CA" w:rsidRPr="002C2F89" w:rsidRDefault="00E565CA" w:rsidP="009633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11 липня 2025 року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О.М. скерував до Комісії додаткові пояснення, у яких повідомив, </w:t>
      </w:r>
      <w:r w:rsidR="00681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ІНФОРМАЦІЯ_2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Заявник пояснив, </w:t>
      </w:r>
      <w:r w:rsidR="00681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ІНФОРМАЦІЯ_3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Заявник просить урахувати повідомлені ним причини та обставини, а також те, що формально ним було виконано вимоги статей 72, 73 Закону України «Про судоустрій і статус суддів» та підпункту 13.15.1 Оголошення.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Пунктом 58.15 Регламенту Вищої кваліфікаційної комісії суддів України, затвердженого</w:t>
      </w:r>
      <w:r w:rsidRPr="002C2F89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рішенням</w:t>
      </w:r>
      <w:r w:rsidRPr="002C2F89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Вищої</w:t>
      </w:r>
      <w:r w:rsidRPr="002C2F89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кваліфікаційної</w:t>
      </w:r>
      <w:r w:rsidRPr="002C2F89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комісії</w:t>
      </w:r>
      <w:r w:rsidRPr="002C2F89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суддів</w:t>
      </w:r>
      <w:r w:rsidRPr="002C2F89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України</w:t>
      </w:r>
      <w:r w:rsidRPr="002C2F89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uk-UA"/>
        </w:rPr>
        <w:t xml:space="preserve">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 13 жовтня 2016 року № 81/зп-16 (у редакції рішення Комісії від 19 жовтня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2023 року № 119/зп-23 (зі змінами) (далі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Регламент),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Перевіривши обставини, викладені в заяві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Малічина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О.М., дослідивши подані ним документи, заслухавши доповідача, Комісія встановила таке.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Загальний перелік вимог до кандидатів на посаду судді визначений у частині першій статті 69 Закону. 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приписами вказаної норми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E565CA" w:rsidRPr="002C2F89" w:rsidRDefault="00E565CA" w:rsidP="00E565C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частині другій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статті 69 Закону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окремо міститься застереження про те, що не може бути призначений суддею громадянин, який </w:t>
      </w:r>
      <w:bookmarkStart w:id="0" w:name="n2343"/>
      <w:bookmarkEnd w:id="0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має незняту чи непогашену судимість.</w:t>
      </w:r>
    </w:p>
    <w:p w:rsidR="00E565CA" w:rsidRPr="002C2F89" w:rsidRDefault="00E565CA" w:rsidP="00E565C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n2344"/>
      <w:bookmarkEnd w:id="1"/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>У пунктах 1-12 частини першої статті 72 Закону окреслено чіткий перелік документів, які особа, що виявила намір стати суддею, подає до Вищої кваліфікаційної комісії суддів України для участі у доборі на посаду судді.</w:t>
      </w:r>
    </w:p>
    <w:p w:rsidR="00E565CA" w:rsidRPr="002C2F89" w:rsidRDefault="00E565CA" w:rsidP="00E565C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>За змістом пункту 13 частини першої статті 72 Закону особа, яка виявила намір стати суддею, для участі у доборі на посаду судді подає до Комісії й інші документи, що підтверджують відповідність особи вимогам, передбаченим статтею 69 цього Закону.</w:t>
      </w:r>
    </w:p>
    <w:p w:rsidR="00E565CA" w:rsidRPr="002C2F89" w:rsidRDefault="00E565CA" w:rsidP="00E565C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підпункту 13.15.1 пункту 13 Оголошення до таких документів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 </w:t>
      </w:r>
    </w:p>
    <w:p w:rsidR="00E565CA" w:rsidRPr="002C2F89" w:rsidRDefault="00E565CA" w:rsidP="00E565C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>Окремо в Оголошенні було зауважено на тому, що такий документ має бути отримано особою не раніше 01 березня 2025 року.</w:t>
      </w:r>
    </w:p>
    <w:p w:rsidR="00E565CA" w:rsidRPr="002C2F89" w:rsidRDefault="00E565CA" w:rsidP="00E565C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>Так, наказом Міністерства внутрішніх справ України від 30 березня 2022</w:t>
      </w:r>
      <w:r w:rsidR="002C2F8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>року № 207 «Деякі питання ведення обліку відомостей про притягнення особи до кримінальної відповідальності та наявності судимості», який зареєстрований в Міністерстві юстиції України за № 425/37761 від 15 квітня 2022</w:t>
      </w:r>
      <w:r w:rsidR="002C2F8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>року, затверджено, серед іншого, Положення про інформаційно-аналітичну систему «Облік відомостей про притягнення особи до кримінальної відповідальності та наявності судимості» (далі – Положення).</w:t>
      </w:r>
    </w:p>
    <w:p w:rsidR="00E565CA" w:rsidRPr="002C2F89" w:rsidRDefault="00E565CA" w:rsidP="00E565C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пунктом 2 Положення інформаційно-аналітична система «Облік відомостей про притягнення особи до кримінальної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відповідальності та наявності судимості»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–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це структурована автоматизована база даних, яка використовується для збирання, зберігання, обліку, пошуку, узагальнення, захисту, перевірки достовірності відомостей, перетворення та відображення інформації, забезпечення доступу до даних про притягнення особи до </w:t>
      </w:r>
      <w:r w:rsidRPr="002C2F89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lastRenderedPageBreak/>
        <w:t>кримінальної відповідальності, відсутність (наявність) судимості або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обмежень, передбачених кримінальним процесуальним законодавством України.</w:t>
      </w:r>
    </w:p>
    <w:p w:rsidR="00E565CA" w:rsidRPr="002C2F89" w:rsidRDefault="00E565CA" w:rsidP="00E565C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Нормативно-правовими актами України не встановлено строку дії Витягу. </w:t>
      </w:r>
      <w:r w:rsidR="001C7776"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Водноч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 необхідно враховувати, що у Витязі відображається результат перевірки відомостей про особу за персонально-довідковим обліком саме станом на дату здійснення такої перевірки.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Відповідно до частин пер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шої – третьої 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>статті 73 Закону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</w:rPr>
        <w:t>а основі поданих документів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судді.</w:t>
      </w:r>
    </w:p>
    <w:p w:rsidR="00E565CA" w:rsidRPr="002C2F89" w:rsidRDefault="00E565CA" w:rsidP="00E565CA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bookmarkStart w:id="2" w:name="n2391"/>
      <w:bookmarkEnd w:id="2"/>
      <w:r w:rsidRPr="002C2F89">
        <w:rPr>
          <w:color w:val="000000" w:themeColor="text1"/>
          <w:sz w:val="28"/>
          <w:szCs w:val="28"/>
        </w:rPr>
        <w:t>Участь у доборі на посаду судді можуть брати особи, які подали необхідні документи, визначені</w:t>
      </w:r>
      <w:r w:rsidR="002C2F89">
        <w:rPr>
          <w:color w:val="000000" w:themeColor="text1"/>
          <w:sz w:val="28"/>
          <w:szCs w:val="28"/>
        </w:rPr>
        <w:t xml:space="preserve"> </w:t>
      </w:r>
      <w:r w:rsidRPr="002C2F89">
        <w:rPr>
          <w:color w:val="000000" w:themeColor="text1"/>
          <w:sz w:val="28"/>
          <w:szCs w:val="28"/>
        </w:rPr>
        <w:t>статтею 72 цього Закону, та відповідають установленим цим Законом вимогам до кандидата на посаду судді на день подання заяви про участь у доборі.</w:t>
      </w:r>
      <w:bookmarkStart w:id="3" w:name="n2392"/>
      <w:bookmarkEnd w:id="3"/>
    </w:p>
    <w:p w:rsidR="00E565CA" w:rsidRPr="002C2F89" w:rsidRDefault="00E565CA" w:rsidP="00E565CA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C2F89">
        <w:rPr>
          <w:color w:val="000000" w:themeColor="text1"/>
          <w:sz w:val="28"/>
          <w:szCs w:val="28"/>
        </w:rPr>
        <w:t>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</w:t>
      </w:r>
      <w:r w:rsidRPr="002C2F89">
        <w:rPr>
          <w:color w:val="000000" w:themeColor="text1"/>
          <w:sz w:val="72"/>
          <w:szCs w:val="72"/>
        </w:rPr>
        <w:t xml:space="preserve"> </w:t>
      </w:r>
      <w:r w:rsidRPr="002C2F89">
        <w:rPr>
          <w:color w:val="000000" w:themeColor="text1"/>
          <w:sz w:val="28"/>
          <w:szCs w:val="28"/>
        </w:rPr>
        <w:t>документами</w:t>
      </w:r>
      <w:r w:rsidRPr="002C2F89">
        <w:rPr>
          <w:color w:val="000000" w:themeColor="text1"/>
          <w:sz w:val="72"/>
          <w:szCs w:val="72"/>
        </w:rPr>
        <w:t xml:space="preserve"> </w:t>
      </w:r>
      <w:r w:rsidRPr="002C2F89">
        <w:rPr>
          <w:color w:val="000000" w:themeColor="text1"/>
          <w:sz w:val="28"/>
          <w:szCs w:val="28"/>
        </w:rPr>
        <w:t>не</w:t>
      </w:r>
      <w:r w:rsidRPr="002C2F89">
        <w:rPr>
          <w:color w:val="000000" w:themeColor="text1"/>
          <w:sz w:val="72"/>
          <w:szCs w:val="72"/>
        </w:rPr>
        <w:t xml:space="preserve"> </w:t>
      </w:r>
      <w:r w:rsidRPr="002C2F89">
        <w:rPr>
          <w:color w:val="000000" w:themeColor="text1"/>
          <w:sz w:val="28"/>
          <w:szCs w:val="28"/>
        </w:rPr>
        <w:t>відповідають</w:t>
      </w:r>
      <w:r w:rsidRPr="002C2F89">
        <w:rPr>
          <w:color w:val="000000" w:themeColor="text1"/>
          <w:sz w:val="72"/>
          <w:szCs w:val="72"/>
        </w:rPr>
        <w:t xml:space="preserve"> </w:t>
      </w:r>
      <w:r w:rsidRPr="002C2F89">
        <w:rPr>
          <w:color w:val="000000" w:themeColor="text1"/>
          <w:sz w:val="28"/>
          <w:szCs w:val="28"/>
        </w:rPr>
        <w:t>установленим</w:t>
      </w:r>
      <w:r w:rsidRPr="002C2F89">
        <w:rPr>
          <w:color w:val="000000" w:themeColor="text1"/>
          <w:sz w:val="72"/>
          <w:szCs w:val="72"/>
        </w:rPr>
        <w:t xml:space="preserve"> </w:t>
      </w:r>
      <w:r w:rsidRPr="002C2F89">
        <w:rPr>
          <w:color w:val="000000" w:themeColor="text1"/>
          <w:sz w:val="28"/>
          <w:szCs w:val="28"/>
        </w:rPr>
        <w:t>цим</w:t>
      </w:r>
      <w:r w:rsidRPr="002C2F89">
        <w:rPr>
          <w:color w:val="000000" w:themeColor="text1"/>
          <w:sz w:val="72"/>
          <w:szCs w:val="72"/>
        </w:rPr>
        <w:t xml:space="preserve"> </w:t>
      </w:r>
      <w:r w:rsidRPr="002C2F89">
        <w:rPr>
          <w:color w:val="000000" w:themeColor="text1"/>
          <w:sz w:val="28"/>
          <w:szCs w:val="28"/>
        </w:rPr>
        <w:t>Законом</w:t>
      </w:r>
      <w:r w:rsidRPr="002C2F89">
        <w:rPr>
          <w:color w:val="000000" w:themeColor="text1"/>
          <w:sz w:val="72"/>
          <w:szCs w:val="72"/>
        </w:rPr>
        <w:t xml:space="preserve"> </w:t>
      </w:r>
      <w:r w:rsidRPr="002C2F89">
        <w:rPr>
          <w:color w:val="000000" w:themeColor="text1"/>
          <w:sz w:val="28"/>
          <w:szCs w:val="28"/>
        </w:rPr>
        <w:t>вимогам до кандидата на посаду судді, до участі у доборі на посаду судді не допускаються.</w:t>
      </w:r>
    </w:p>
    <w:p w:rsidR="00E565CA" w:rsidRPr="002C2F89" w:rsidRDefault="00E565CA" w:rsidP="00E565CA">
      <w:pPr>
        <w:pStyle w:val="rvps2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2C2F89">
        <w:rPr>
          <w:color w:val="000000" w:themeColor="text1"/>
          <w:sz w:val="28"/>
          <w:szCs w:val="28"/>
        </w:rPr>
        <w:t xml:space="preserve">Отже, станом на день подання заяви про участь у Доборі </w:t>
      </w:r>
      <w:proofErr w:type="spellStart"/>
      <w:r w:rsidRPr="002C2F89">
        <w:rPr>
          <w:color w:val="000000" w:themeColor="text1"/>
          <w:sz w:val="28"/>
          <w:szCs w:val="28"/>
        </w:rPr>
        <w:t>Малічиним</w:t>
      </w:r>
      <w:proofErr w:type="spellEnd"/>
      <w:r w:rsidRPr="002C2F89">
        <w:rPr>
          <w:color w:val="000000" w:themeColor="text1"/>
          <w:sz w:val="28"/>
          <w:szCs w:val="28"/>
        </w:rPr>
        <w:t xml:space="preserve"> О.М. не надано усіх необхідних документів, які б підтверджували його відповідність вимогам до кандидата на посаду судді.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огляду на викладене Комісія у складі колегії дійшла обґрунтованого висновку про відмову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Малічину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О.М. </w:t>
      </w:r>
      <w:r w:rsidR="001C7776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допуску до участі в Доборі.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Комісія у пленарному складі бере до уваги </w:t>
      </w:r>
      <w:r w:rsidR="001C7776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факт виготовлення </w:t>
      </w:r>
      <w:proofErr w:type="spellStart"/>
      <w:r w:rsidR="001C7776"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Малічиним</w:t>
      </w:r>
      <w:proofErr w:type="spellEnd"/>
      <w:r w:rsid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C7776"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О.М. Витягу відповідно до умов Оголошення, та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умов</w:t>
      </w:r>
      <w:r w:rsidR="001C7776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в яких здійснювалась подання документів до електронного кабінету «Суддівської кар’єри»</w:t>
      </w:r>
      <w:r w:rsidR="001C7776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Водночас Комісія зазначає, що Оголошенням було чітко обумовлено строк подання заяви та документів для участі в Доборі.</w:t>
      </w:r>
      <w:r w:rsidRPr="002C2F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Строк подання заяви та документів для участі у Доборі визначено з 01 березня 2025 року до 30 березня 2025 року (включно). Період подання документів для військовослужбовців – з 01 березня до 01 травня 2025 року включно. 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Отже, Комісією не передбачено можливості прийняття документів після завершення визначеного Оголошенням строку. 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Ураховуючи викладене, Комісія констатує відсутність підстав вважати, що рішення, яким відмовлено кандидату в допуску до участі в Доборі, ухвалено з порушенням вимог Закону та Регламенту Комісії. Отже, у задоволенні заяви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>Малічина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uk-UA"/>
        </w:rPr>
        <w:t xml:space="preserve"> О.М. про перегляд рішення Комісії від 26 травня 2025 року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№ 851/дс-25 слід відмовити.</w:t>
      </w: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Керуючись статтями 93, 101 Закону України «Про судоустрій і статус суддів», Вища кваліфікаційна комісія суддів України </w:t>
      </w:r>
      <w:r w:rsidR="0005587B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дев’ятьма </w:t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голосами ЗА та </w:t>
      </w:r>
      <w:bookmarkStart w:id="4" w:name="_GoBack"/>
      <w:bookmarkEnd w:id="4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трьома голосами ПРОТИ,</w:t>
      </w:r>
    </w:p>
    <w:p w:rsidR="001C7776" w:rsidRPr="002C2F89" w:rsidRDefault="001C7776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565CA" w:rsidRPr="002C2F89" w:rsidRDefault="00E565CA" w:rsidP="00E565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565CA" w:rsidRPr="002C2F89" w:rsidRDefault="00E565CA" w:rsidP="00E56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вирішила:</w:t>
      </w:r>
    </w:p>
    <w:p w:rsidR="00E565CA" w:rsidRPr="002C2F89" w:rsidRDefault="00E565CA" w:rsidP="00E56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565CA" w:rsidRPr="002C2F89" w:rsidRDefault="00E565CA" w:rsidP="00E56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відмовити </w:t>
      </w:r>
      <w:proofErr w:type="spellStart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Малічину</w:t>
      </w:r>
      <w:proofErr w:type="spellEnd"/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Олегу Миколайовичу в задоволенні заяви про перегляд рішення Вищої кваліфікаційної комісії суддів України від 26 травня 2025 року № 851/дс-25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E565CA" w:rsidRPr="002C2F89" w:rsidRDefault="00E565CA" w:rsidP="00E56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565CA" w:rsidRPr="002C2F89" w:rsidRDefault="00E565CA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Головуючий</w:t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Олексій ОМЕЛЬЯН (ЗА)</w:t>
      </w:r>
    </w:p>
    <w:p w:rsidR="00E565CA" w:rsidRDefault="00E565CA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Члени Комісії:</w:t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Михайло БОГОНІС (ЗА)</w:t>
      </w:r>
    </w:p>
    <w:p w:rsidR="00E565CA" w:rsidRDefault="002C2F89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565CA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Людмила ВОЛКОВА (ЗА)</w:t>
      </w:r>
    </w:p>
    <w:p w:rsidR="00E565CA" w:rsidRDefault="002C2F89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565CA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Віталій ГАЦЕЛЮК (ЗА)</w:t>
      </w:r>
    </w:p>
    <w:p w:rsidR="00E565CA" w:rsidRDefault="002C2F89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565CA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Ярослав ДУХ (ПРОТИ)</w:t>
      </w:r>
    </w:p>
    <w:p w:rsidR="00AC46F6" w:rsidRDefault="002C2F89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AC46F6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Роман КИДИСЮК (ЗА)</w:t>
      </w:r>
    </w:p>
    <w:p w:rsidR="00E565CA" w:rsidRDefault="00235027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565CA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Олег КОЛІУШ (ЗА)</w:t>
      </w:r>
    </w:p>
    <w:p w:rsidR="00E565CA" w:rsidRDefault="00235027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565CA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Володимир ЛУГАНСЬКИЙ (ЗА)</w:t>
      </w:r>
    </w:p>
    <w:p w:rsidR="00E565CA" w:rsidRDefault="00235027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565CA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Руслан МЕЛЬНИК (ПРОТИ)</w:t>
      </w:r>
    </w:p>
    <w:p w:rsidR="00E565CA" w:rsidRDefault="00235027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565CA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Руслан СИДОРОВИЧ (ЗА)</w:t>
      </w:r>
    </w:p>
    <w:p w:rsidR="00E565CA" w:rsidRDefault="00235027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565CA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Сергій ЧУМАК (ЗА)</w:t>
      </w:r>
    </w:p>
    <w:p w:rsidR="00E565CA" w:rsidRPr="002C2F89" w:rsidRDefault="00235027" w:rsidP="00E565C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  <w:r w:rsidR="00E565CA" w:rsidRPr="002C2F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Галина ШЕВЧУК (ПРОТИ)</w:t>
      </w:r>
    </w:p>
    <w:sectPr w:rsidR="00E565CA" w:rsidRPr="002C2F89" w:rsidSect="00681BA6">
      <w:headerReference w:type="default" r:id="rId7"/>
      <w:pgSz w:w="11906" w:h="16838"/>
      <w:pgMar w:top="850" w:right="850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B26" w:rsidRDefault="00B25B26" w:rsidP="0005587B">
      <w:pPr>
        <w:spacing w:after="0" w:line="240" w:lineRule="auto"/>
      </w:pPr>
      <w:r>
        <w:separator/>
      </w:r>
    </w:p>
  </w:endnote>
  <w:endnote w:type="continuationSeparator" w:id="0">
    <w:p w:rsidR="00B25B26" w:rsidRDefault="00B25B26" w:rsidP="0005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B26" w:rsidRDefault="00B25B26" w:rsidP="0005587B">
      <w:pPr>
        <w:spacing w:after="0" w:line="240" w:lineRule="auto"/>
      </w:pPr>
      <w:r>
        <w:separator/>
      </w:r>
    </w:p>
  </w:footnote>
  <w:footnote w:type="continuationSeparator" w:id="0">
    <w:p w:rsidR="00B25B26" w:rsidRDefault="00B25B26" w:rsidP="0005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595079"/>
      <w:docPartObj>
        <w:docPartGallery w:val="Page Numbers (Top of Page)"/>
        <w:docPartUnique/>
      </w:docPartObj>
    </w:sdtPr>
    <w:sdtEndPr/>
    <w:sdtContent>
      <w:p w:rsidR="002C0BAF" w:rsidRDefault="002C0B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5587B" w:rsidRDefault="000558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F3"/>
    <w:rsid w:val="0005587B"/>
    <w:rsid w:val="001C7776"/>
    <w:rsid w:val="001F26C5"/>
    <w:rsid w:val="00235027"/>
    <w:rsid w:val="002C0BAF"/>
    <w:rsid w:val="002C2F89"/>
    <w:rsid w:val="004D3CF3"/>
    <w:rsid w:val="00681BA6"/>
    <w:rsid w:val="008E7513"/>
    <w:rsid w:val="009633C4"/>
    <w:rsid w:val="00AC46F6"/>
    <w:rsid w:val="00B25B26"/>
    <w:rsid w:val="00C16DCC"/>
    <w:rsid w:val="00E565CA"/>
    <w:rsid w:val="00F2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E8D2"/>
  <w15:chartTrackingRefBased/>
  <w15:docId w15:val="{94990A3F-7CF6-418F-8D91-C3A38766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5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5CA"/>
    <w:rPr>
      <w:color w:val="0000FF"/>
      <w:u w:val="single"/>
    </w:rPr>
  </w:style>
  <w:style w:type="paragraph" w:customStyle="1" w:styleId="rvps2">
    <w:name w:val="rvps2"/>
    <w:basedOn w:val="a"/>
    <w:rsid w:val="00E5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055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5587B"/>
  </w:style>
  <w:style w:type="paragraph" w:styleId="a6">
    <w:name w:val="footer"/>
    <w:basedOn w:val="a"/>
    <w:link w:val="a7"/>
    <w:uiPriority w:val="99"/>
    <w:unhideWhenUsed/>
    <w:rsid w:val="00055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5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6768</Words>
  <Characters>3858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Свирида Наталія Павлівна</dc:creator>
  <cp:keywords/>
  <dc:description/>
  <cp:lastModifiedBy>Василенко Наталія Іванівна</cp:lastModifiedBy>
  <cp:revision>4</cp:revision>
  <dcterms:created xsi:type="dcterms:W3CDTF">2025-07-23T07:38:00Z</dcterms:created>
  <dcterms:modified xsi:type="dcterms:W3CDTF">2025-07-23T08:11:00Z</dcterms:modified>
</cp:coreProperties>
</file>