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9E39DD" w:rsidRDefault="004958DA" w:rsidP="00911331">
      <w:pPr>
        <w:spacing w:after="0" w:line="240" w:lineRule="auto"/>
        <w:jc w:val="center"/>
        <w:rPr>
          <w:rFonts w:ascii="Times New Roman" w:hAnsi="Times New Roman"/>
          <w:color w:val="000000"/>
          <w:spacing w:val="-20"/>
          <w:sz w:val="24"/>
          <w:szCs w:val="24"/>
          <w:lang w:val="uk-UA" w:eastAsia="ru-RU"/>
        </w:rPr>
      </w:pPr>
      <w:r w:rsidRPr="00035D5D">
        <w:rPr>
          <w:rFonts w:ascii="Times New Roman" w:hAnsi="Times New Roman"/>
          <w:noProof/>
          <w:color w:val="000000"/>
          <w:spacing w:val="-20"/>
          <w:kern w:val="2"/>
          <w:sz w:val="32"/>
          <w:szCs w:val="32"/>
          <w:highlight w:val="lightGray"/>
          <w:lang w:val="uk-UA" w:eastAsia="uk-UA"/>
        </w:rPr>
        <w:drawing>
          <wp:inline distT="0" distB="0" distL="0" distR="0" wp14:anchorId="3E7234CC" wp14:editId="3E60527F">
            <wp:extent cx="45720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9E39DD" w:rsidRDefault="00287A31" w:rsidP="00911331">
      <w:pPr>
        <w:spacing w:after="0" w:line="240" w:lineRule="auto"/>
        <w:rPr>
          <w:rFonts w:ascii="Times New Roman" w:hAnsi="Times New Roman"/>
          <w:color w:val="000000"/>
          <w:spacing w:val="-20"/>
          <w:sz w:val="24"/>
          <w:szCs w:val="24"/>
          <w:lang w:val="uk-UA" w:eastAsia="ru-RU"/>
        </w:rPr>
      </w:pPr>
    </w:p>
    <w:p w:rsidR="00287A31" w:rsidRPr="00035D5D" w:rsidRDefault="00287A31" w:rsidP="005C5043">
      <w:pPr>
        <w:jc w:val="center"/>
        <w:rPr>
          <w:rFonts w:ascii="Times New Roman" w:hAnsi="Times New Roman"/>
          <w:sz w:val="36"/>
          <w:szCs w:val="36"/>
          <w:lang w:val="uk-UA" w:eastAsia="hi-IN" w:bidi="hi-IN"/>
        </w:rPr>
      </w:pPr>
      <w:r w:rsidRPr="00035D5D">
        <w:rPr>
          <w:rFonts w:ascii="Times New Roman" w:hAnsi="Times New Roman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960DC4" w:rsidRDefault="00960DC4" w:rsidP="00371D42">
      <w:pPr>
        <w:rPr>
          <w:rFonts w:ascii="Times New Roman" w:hAnsi="Times New Roman"/>
          <w:sz w:val="28"/>
          <w:szCs w:val="28"/>
          <w:lang w:val="uk-UA" w:eastAsia="ru-RU"/>
        </w:rPr>
      </w:pPr>
    </w:p>
    <w:p w:rsidR="00287A31" w:rsidRPr="00487691" w:rsidRDefault="008C4911" w:rsidP="00371D42">
      <w:pPr>
        <w:rPr>
          <w:rFonts w:ascii="Times New Roman" w:hAnsi="Times New Roman"/>
          <w:sz w:val="28"/>
          <w:szCs w:val="28"/>
          <w:lang w:val="uk-UA" w:eastAsia="ru-RU"/>
        </w:rPr>
      </w:pPr>
      <w:r w:rsidRPr="0048769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D623F">
        <w:rPr>
          <w:rFonts w:ascii="Times New Roman" w:hAnsi="Times New Roman"/>
          <w:color w:val="000000"/>
          <w:sz w:val="28"/>
          <w:szCs w:val="28"/>
          <w:lang w:val="uk-UA"/>
        </w:rPr>
        <w:t>06</w:t>
      </w:r>
      <w:r w:rsidR="00B67F47" w:rsidRPr="00487691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серпня </w:t>
      </w:r>
      <w:r w:rsidR="00B352C6" w:rsidRPr="00487691"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BD3A5F" w:rsidRPr="00487691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 xml:space="preserve"> р</w:t>
      </w:r>
      <w:r w:rsidR="00583F27" w:rsidRPr="00487691">
        <w:rPr>
          <w:rFonts w:ascii="Times New Roman" w:hAnsi="Times New Roman"/>
          <w:sz w:val="28"/>
          <w:szCs w:val="28"/>
          <w:lang w:val="uk-UA" w:eastAsia="ru-RU"/>
        </w:rPr>
        <w:t>оку</w:t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ab/>
      </w:r>
      <w:r w:rsidR="00BD3A5F" w:rsidRPr="00487691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="00287A31" w:rsidRPr="00487691">
        <w:rPr>
          <w:rFonts w:ascii="Times New Roman" w:hAnsi="Times New Roman"/>
          <w:sz w:val="28"/>
          <w:szCs w:val="28"/>
          <w:lang w:val="uk-UA" w:eastAsia="ru-RU"/>
        </w:rPr>
        <w:t xml:space="preserve">м. Київ </w:t>
      </w:r>
    </w:p>
    <w:p w:rsidR="00287A31" w:rsidRPr="00487691" w:rsidRDefault="00287A31" w:rsidP="00371D42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87691">
        <w:rPr>
          <w:rFonts w:ascii="Times New Roman" w:hAnsi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487691">
        <w:rPr>
          <w:rFonts w:ascii="Times New Roman" w:hAnsi="Times New Roman"/>
          <w:sz w:val="28"/>
          <w:szCs w:val="28"/>
          <w:lang w:val="uk-UA" w:eastAsia="ru-RU"/>
        </w:rPr>
        <w:t>Н</w:t>
      </w:r>
      <w:proofErr w:type="spellEnd"/>
      <w:r w:rsidRPr="00487691">
        <w:rPr>
          <w:rFonts w:ascii="Times New Roman" w:hAnsi="Times New Roman"/>
          <w:sz w:val="28"/>
          <w:szCs w:val="28"/>
          <w:lang w:val="uk-UA" w:eastAsia="ru-RU"/>
        </w:rPr>
        <w:t xml:space="preserve"> Я  № </w:t>
      </w:r>
      <w:r w:rsidR="001C6EB9">
        <w:rPr>
          <w:rFonts w:ascii="Times New Roman" w:hAnsi="Times New Roman"/>
          <w:sz w:val="28"/>
          <w:szCs w:val="28"/>
          <w:u w:val="single"/>
          <w:lang w:val="uk-UA" w:eastAsia="ru-RU"/>
        </w:rPr>
        <w:t>148/зп-25</w:t>
      </w:r>
    </w:p>
    <w:p w:rsidR="009B6623" w:rsidRPr="00487691" w:rsidRDefault="00287A31" w:rsidP="00371D42">
      <w:pPr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 xml:space="preserve">Вища кваліфікаційна комісія суддів України  </w:t>
      </w:r>
      <w:r w:rsidR="009B6623" w:rsidRPr="00487691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135E9" w:rsidRPr="00487691">
        <w:rPr>
          <w:rFonts w:ascii="Times New Roman" w:hAnsi="Times New Roman"/>
          <w:sz w:val="28"/>
          <w:szCs w:val="28"/>
          <w:lang w:val="uk-UA"/>
        </w:rPr>
        <w:t>пленарному складі</w:t>
      </w:r>
      <w:r w:rsidR="009B6623" w:rsidRPr="00487691">
        <w:rPr>
          <w:rFonts w:ascii="Times New Roman" w:hAnsi="Times New Roman"/>
          <w:sz w:val="28"/>
          <w:szCs w:val="28"/>
          <w:lang w:val="uk-UA"/>
        </w:rPr>
        <w:t>:</w:t>
      </w:r>
    </w:p>
    <w:p w:rsidR="00B7398E" w:rsidRPr="00120794" w:rsidRDefault="00B7398E" w:rsidP="00B7398E">
      <w:pPr>
        <w:shd w:val="clear" w:color="auto" w:fill="FFFFFF"/>
        <w:spacing w:after="240" w:line="240" w:lineRule="auto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120794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головуючого –</w:t>
      </w:r>
      <w:r w:rsidRPr="00120794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Pr="00120794">
        <w:rPr>
          <w:rFonts w:ascii="Times New Roman" w:eastAsia="Times New Roman" w:hAnsi="Times New Roman"/>
          <w:sz w:val="28"/>
          <w:szCs w:val="28"/>
          <w:lang w:val="uk-UA"/>
        </w:rPr>
        <w:t>Галини ШЕВЧУК</w:t>
      </w:r>
      <w:r w:rsidRPr="00120794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(доповідач)</w:t>
      </w:r>
      <w:r w:rsidRPr="00120794">
        <w:rPr>
          <w:rFonts w:ascii="Times New Roman" w:hAnsi="Times New Roman"/>
          <w:spacing w:val="-1"/>
          <w:sz w:val="28"/>
          <w:szCs w:val="28"/>
          <w:lang w:val="uk-UA"/>
        </w:rPr>
        <w:t xml:space="preserve">, </w:t>
      </w:r>
    </w:p>
    <w:p w:rsidR="00B7398E" w:rsidRPr="00487691" w:rsidRDefault="00B7398E" w:rsidP="00B7398E">
      <w:pPr>
        <w:shd w:val="clear" w:color="auto" w:fill="FFFFFF"/>
        <w:tabs>
          <w:tab w:val="left" w:pos="6804"/>
          <w:tab w:val="left" w:pos="7230"/>
        </w:tabs>
        <w:spacing w:after="240" w:line="240" w:lineRule="auto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</w:pPr>
      <w:r w:rsidRPr="00120794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членів Комісії:</w:t>
      </w:r>
      <w:r w:rsidRPr="00120794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  <w:r w:rsidRPr="00120794">
        <w:rPr>
          <w:rFonts w:ascii="Times New Roman" w:eastAsia="Times New Roman" w:hAnsi="Times New Roman"/>
          <w:sz w:val="28"/>
          <w:szCs w:val="28"/>
          <w:lang w:val="uk-UA"/>
        </w:rPr>
        <w:t>Михайла БОГОНОСА, Людмили ВОЛКОВОЇ, Віталія ГАЦЕЛЮКА, Ярослава ДУХА, Романа КИДИСЮКА, Надії КОБЕЦЬКОЇ, Олега КОЛІУША, Руслана МЕЛЬНИКА, Олексія ОМЕЛЬЯНА, Андрія ПАСІЧНИКА, Романа САБОДАША, Руслана СИДОРОВИЧА, Сергія ЧУМАКА</w:t>
      </w:r>
      <w:r w:rsidRPr="00120794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Pr="00487691">
        <w:rPr>
          <w:rFonts w:ascii="Times New Roman" w:hAnsi="Times New Roman"/>
          <w:bCs/>
          <w:iCs/>
          <w:color w:val="000000"/>
          <w:spacing w:val="-6"/>
          <w:sz w:val="28"/>
          <w:szCs w:val="28"/>
          <w:lang w:val="uk-UA"/>
        </w:rPr>
        <w:t xml:space="preserve"> </w:t>
      </w:r>
    </w:p>
    <w:p w:rsidR="00287A31" w:rsidRPr="00487691" w:rsidRDefault="00287A31" w:rsidP="005C504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color w:val="000000"/>
          <w:sz w:val="28"/>
          <w:szCs w:val="28"/>
          <w:lang w:val="uk-UA"/>
        </w:rPr>
        <w:t>розглянувши питання</w:t>
      </w:r>
      <w:r w:rsidR="00EB2C19" w:rsidRPr="0048769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D443F" w:rsidRPr="00487691">
        <w:rPr>
          <w:rFonts w:ascii="Times New Roman" w:hAnsi="Times New Roman"/>
          <w:color w:val="000000"/>
          <w:sz w:val="28"/>
          <w:szCs w:val="28"/>
          <w:lang w:val="uk-UA"/>
        </w:rPr>
        <w:t xml:space="preserve">обрання </w:t>
      </w:r>
      <w:r w:rsidR="001A77C5" w:rsidRPr="00487691">
        <w:rPr>
          <w:rFonts w:ascii="Times New Roman" w:hAnsi="Times New Roman"/>
          <w:sz w:val="28"/>
          <w:szCs w:val="28"/>
          <w:lang w:val="uk-UA"/>
        </w:rPr>
        <w:t xml:space="preserve">секретаря </w:t>
      </w:r>
      <w:r w:rsidR="00236BD4" w:rsidRPr="00487691">
        <w:rPr>
          <w:rFonts w:ascii="Times New Roman" w:hAnsi="Times New Roman"/>
          <w:sz w:val="28"/>
          <w:szCs w:val="28"/>
          <w:lang w:val="uk-UA"/>
        </w:rPr>
        <w:t xml:space="preserve">Першої </w:t>
      </w:r>
      <w:r w:rsidR="00DC2F25" w:rsidRPr="00487691">
        <w:rPr>
          <w:rFonts w:ascii="Times New Roman" w:hAnsi="Times New Roman"/>
          <w:sz w:val="28"/>
          <w:szCs w:val="28"/>
          <w:lang w:val="uk-UA"/>
        </w:rPr>
        <w:t>палати</w:t>
      </w:r>
      <w:r w:rsidR="004F7425" w:rsidRPr="004876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2C19"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Вищої кваліфікаційної комісії суддів України</w:t>
      </w:r>
      <w:r w:rsidR="00A75AFD" w:rsidRPr="00487691">
        <w:rPr>
          <w:rFonts w:ascii="Times New Roman" w:hAnsi="Times New Roman"/>
          <w:sz w:val="28"/>
          <w:szCs w:val="28"/>
          <w:lang w:val="uk-UA"/>
        </w:rPr>
        <w:t>,</w:t>
      </w:r>
    </w:p>
    <w:p w:rsidR="00A16747" w:rsidRPr="00487691" w:rsidRDefault="00287A31" w:rsidP="00371D4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>встановила:</w:t>
      </w:r>
    </w:p>
    <w:p w:rsidR="005D443F" w:rsidRPr="00487691" w:rsidRDefault="00771D76" w:rsidP="005C504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sz w:val="28"/>
          <w:szCs w:val="28"/>
          <w:lang w:val="uk-UA"/>
        </w:rPr>
        <w:tab/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5D443F" w:rsidRPr="00487691">
        <w:rPr>
          <w:rFonts w:ascii="Times New Roman" w:hAnsi="Times New Roman"/>
          <w:sz w:val="28"/>
          <w:szCs w:val="28"/>
          <w:lang w:val="uk-UA"/>
        </w:rPr>
        <w:t xml:space="preserve">частини першої статті 92 </w:t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>Закону України «Про судоустрій і статус</w:t>
      </w:r>
      <w:r w:rsidR="009E39DD" w:rsidRPr="004876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>суддів»</w:t>
      </w:r>
      <w:r w:rsidR="005E655E" w:rsidRPr="00487691">
        <w:rPr>
          <w:rFonts w:ascii="Times New Roman" w:hAnsi="Times New Roman"/>
          <w:sz w:val="28"/>
          <w:szCs w:val="28"/>
          <w:lang w:val="uk-UA"/>
        </w:rPr>
        <w:t xml:space="preserve"> (далі – Закон) </w:t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>Вища кваліфікаційн</w:t>
      </w:r>
      <w:r w:rsidR="008C107D" w:rsidRPr="00487691">
        <w:rPr>
          <w:rFonts w:ascii="Times New Roman" w:hAnsi="Times New Roman"/>
          <w:sz w:val="28"/>
          <w:szCs w:val="28"/>
          <w:lang w:val="uk-UA"/>
        </w:rPr>
        <w:t>а</w:t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8C107D" w:rsidRPr="00487691">
        <w:rPr>
          <w:rFonts w:ascii="Times New Roman" w:hAnsi="Times New Roman"/>
          <w:sz w:val="28"/>
          <w:szCs w:val="28"/>
          <w:lang w:val="uk-UA"/>
        </w:rPr>
        <w:t>я</w:t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 xml:space="preserve"> суддів України є державним </w:t>
      </w:r>
      <w:r w:rsidR="003C5658" w:rsidRPr="00487691">
        <w:rPr>
          <w:rFonts w:ascii="Times New Roman" w:hAnsi="Times New Roman"/>
          <w:sz w:val="28"/>
          <w:szCs w:val="28"/>
          <w:lang w:val="uk-UA"/>
        </w:rPr>
        <w:t xml:space="preserve">колегіальним </w:t>
      </w:r>
      <w:r w:rsidR="00247534" w:rsidRPr="00487691">
        <w:rPr>
          <w:rFonts w:ascii="Times New Roman" w:hAnsi="Times New Roman"/>
          <w:sz w:val="28"/>
          <w:szCs w:val="28"/>
          <w:lang w:val="uk-UA"/>
        </w:rPr>
        <w:t>органом суддівського врядування, який на постійній основі діє у системі правосуддя України.</w:t>
      </w:r>
    </w:p>
    <w:p w:rsidR="003C5658" w:rsidRPr="00487691" w:rsidRDefault="00771D76" w:rsidP="005C504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</w:r>
      <w:r w:rsidR="003C5658" w:rsidRPr="00487691">
        <w:rPr>
          <w:rFonts w:ascii="Times New Roman" w:hAnsi="Times New Roman"/>
          <w:sz w:val="28"/>
          <w:szCs w:val="28"/>
          <w:lang w:val="uk-UA"/>
        </w:rPr>
        <w:t>Вища кваліфікаційна комісія суддів</w:t>
      </w:r>
      <w:r w:rsidR="009E39DD" w:rsidRPr="004876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5658" w:rsidRPr="00487691">
        <w:rPr>
          <w:rFonts w:ascii="Times New Roman" w:hAnsi="Times New Roman"/>
          <w:sz w:val="28"/>
          <w:szCs w:val="28"/>
          <w:lang w:val="uk-UA"/>
        </w:rPr>
        <w:t>України складається з шістнадцяти членів, вісім з яких призначаються з числа суддів або суддів у відставці</w:t>
      </w:r>
      <w:r w:rsidR="008B4AEE">
        <w:rPr>
          <w:rFonts w:ascii="Times New Roman" w:hAnsi="Times New Roman"/>
          <w:sz w:val="28"/>
          <w:szCs w:val="28"/>
          <w:lang w:val="uk-UA"/>
        </w:rPr>
        <w:t xml:space="preserve"> (частина третя статті 92 Закону).</w:t>
      </w:r>
    </w:p>
    <w:p w:rsidR="003C5658" w:rsidRPr="00487691" w:rsidRDefault="00771D76" w:rsidP="005C504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</w:r>
      <w:r w:rsidR="003C5658" w:rsidRPr="00487691">
        <w:rPr>
          <w:rFonts w:ascii="Times New Roman" w:hAnsi="Times New Roman"/>
          <w:sz w:val="28"/>
          <w:szCs w:val="28"/>
          <w:lang w:val="uk-UA"/>
        </w:rPr>
        <w:t>Частиною четвертою статті 98 Закону встановлено, що Вища кваліфікаційна комісія суддів України пленарним складом обирає таємним голосуванням більшістю голосів від загального складу Комісії, зокрема, секретарів палат.</w:t>
      </w:r>
      <w:r w:rsidR="00EB2C19"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Головує на такому засіданні найстарший за віком із присутніх на засіданні член Вищої кваліфікаційної комісії суддів України.</w:t>
      </w:r>
    </w:p>
    <w:p w:rsidR="004C58A4" w:rsidRPr="00487691" w:rsidRDefault="003C5658" w:rsidP="005C504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ab/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Секретарем палати, голова якої є суддею або суддею у відставці, обирається член Вищої кваліфікаційної комісії суддів України, який не є суддею або суддею у відставці. Секретарем палати, голова якої не є суддею або суддею у відставці, обирається член Вищої кваліфікаційної комісії суддів України, який є суддею або суддею у відставці.</w:t>
      </w:r>
      <w:r w:rsidR="0056464A" w:rsidRPr="004876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6F0F" w:rsidRPr="00487691" w:rsidRDefault="00B25AE3" w:rsidP="00742F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</w:r>
      <w:r w:rsidR="00006F0F" w:rsidRPr="00487691">
        <w:rPr>
          <w:rFonts w:ascii="Times New Roman" w:hAnsi="Times New Roman"/>
          <w:sz w:val="28"/>
          <w:szCs w:val="28"/>
          <w:lang w:val="uk-UA"/>
        </w:rPr>
        <w:t xml:space="preserve">Пунктом 2 </w:t>
      </w:r>
      <w:r w:rsidR="00782828" w:rsidRPr="00487691">
        <w:rPr>
          <w:rFonts w:ascii="Times New Roman" w:hAnsi="Times New Roman"/>
          <w:spacing w:val="-6"/>
          <w:sz w:val="28"/>
          <w:szCs w:val="28"/>
          <w:lang w:val="uk-UA"/>
        </w:rPr>
        <w:t>параграфа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 1 розділу I Регламенту Вищої кваліфікаційної комісії суддів України, затвердженого рішенням Комісії від 13</w:t>
      </w:r>
      <w:r w:rsidR="00A4672B">
        <w:rPr>
          <w:rFonts w:ascii="Times New Roman" w:hAnsi="Times New Roman"/>
          <w:spacing w:val="-6"/>
          <w:sz w:val="28"/>
          <w:szCs w:val="28"/>
          <w:lang w:val="uk-UA"/>
        </w:rPr>
        <w:t xml:space="preserve"> жовтня 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2016 </w:t>
      </w:r>
      <w:r w:rsidR="00A4672B">
        <w:rPr>
          <w:rFonts w:ascii="Times New Roman" w:hAnsi="Times New Roman"/>
          <w:spacing w:val="-6"/>
          <w:sz w:val="28"/>
          <w:szCs w:val="28"/>
          <w:lang w:val="uk-UA"/>
        </w:rPr>
        <w:t xml:space="preserve">року 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>№</w:t>
      </w:r>
      <w:r w:rsidR="00DE18EB">
        <w:rPr>
          <w:rFonts w:ascii="Times New Roman" w:hAnsi="Times New Roman"/>
          <w:spacing w:val="-6"/>
          <w:sz w:val="28"/>
          <w:szCs w:val="28"/>
          <w:lang w:val="en-US"/>
        </w:rPr>
        <w:t> 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>81/</w:t>
      </w:r>
      <w:proofErr w:type="spellStart"/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>зп</w:t>
      </w:r>
      <w:proofErr w:type="spellEnd"/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DE18EB">
        <w:rPr>
          <w:rFonts w:ascii="Times New Roman" w:hAnsi="Times New Roman"/>
          <w:spacing w:val="-6"/>
          <w:sz w:val="28"/>
          <w:szCs w:val="28"/>
          <w:lang w:val="en-US"/>
        </w:rPr>
        <w:t> 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>16 (в редакції рішення Комісії від 19</w:t>
      </w:r>
      <w:r w:rsidR="00A4672B">
        <w:rPr>
          <w:rFonts w:ascii="Times New Roman" w:hAnsi="Times New Roman"/>
          <w:spacing w:val="-6"/>
          <w:sz w:val="28"/>
          <w:szCs w:val="28"/>
          <w:lang w:val="uk-UA"/>
        </w:rPr>
        <w:t xml:space="preserve"> жовтня 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>2023</w:t>
      </w:r>
      <w:r w:rsidR="00A4672B">
        <w:rPr>
          <w:rFonts w:ascii="Times New Roman" w:hAnsi="Times New Roman"/>
          <w:spacing w:val="-6"/>
          <w:sz w:val="28"/>
          <w:szCs w:val="28"/>
          <w:lang w:val="uk-UA"/>
        </w:rPr>
        <w:t xml:space="preserve"> року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 № 119/зп-23 зі </w:t>
      </w:r>
      <w:r w:rsidR="00006F0F" w:rsidRPr="00487691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змінами)</w:t>
      </w:r>
      <w:r w:rsidR="00006F0F" w:rsidRPr="00487691">
        <w:rPr>
          <w:rFonts w:ascii="Times New Roman" w:hAnsi="Times New Roman"/>
          <w:sz w:val="28"/>
          <w:szCs w:val="28"/>
          <w:lang w:val="uk-UA"/>
        </w:rPr>
        <w:t xml:space="preserve"> (далі – Регламент) передбачено, що </w:t>
      </w:r>
      <w:r w:rsidR="00006F0F" w:rsidRPr="00487691">
        <w:rPr>
          <w:rFonts w:ascii="Times New Roman" w:hAnsi="Times New Roman"/>
          <w:color w:val="000000"/>
          <w:sz w:val="28"/>
          <w:szCs w:val="28"/>
          <w:lang w:val="uk-UA"/>
        </w:rPr>
        <w:t>у складі Вищої кваліфікаційної комісії суддів України діють Перша палата, Друга палата та колегії</w:t>
      </w:r>
      <w:r w:rsidR="00006F0F" w:rsidRPr="00487691">
        <w:rPr>
          <w:rFonts w:ascii="Times New Roman" w:hAnsi="Times New Roman"/>
          <w:sz w:val="28"/>
          <w:szCs w:val="28"/>
          <w:lang w:val="uk-UA"/>
        </w:rPr>
        <w:t>.</w:t>
      </w:r>
    </w:p>
    <w:p w:rsidR="00006F0F" w:rsidRPr="00487691" w:rsidRDefault="00006F0F" w:rsidP="00742F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</w:r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Голова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входить </w:t>
      </w:r>
      <w:proofErr w:type="gram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складу</w:t>
      </w:r>
      <w:proofErr w:type="gram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Першої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палати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є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головою. Заступник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входить </w:t>
      </w:r>
      <w:proofErr w:type="gram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складу</w:t>
      </w:r>
      <w:proofErr w:type="gram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Другої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палати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є </w:t>
      </w:r>
      <w:proofErr w:type="spellStart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головою</w:t>
      </w:r>
      <w:r w:rsidRPr="004876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(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пункт 46 </w:t>
      </w:r>
      <w:r w:rsidR="00782828" w:rsidRPr="00487691">
        <w:rPr>
          <w:rFonts w:ascii="Times New Roman" w:hAnsi="Times New Roman"/>
          <w:spacing w:val="-6"/>
          <w:sz w:val="28"/>
          <w:szCs w:val="28"/>
          <w:lang w:val="uk-UA"/>
        </w:rPr>
        <w:t>параграфа</w:t>
      </w:r>
      <w:r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 6 розділу I Регламенту)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D19B5" w:rsidRPr="00487691" w:rsidRDefault="00006F0F" w:rsidP="00742F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  <w:t>Порядок обрання секретар</w:t>
      </w:r>
      <w:r w:rsidR="007B000F">
        <w:rPr>
          <w:rFonts w:ascii="Times New Roman" w:hAnsi="Times New Roman"/>
          <w:sz w:val="28"/>
          <w:szCs w:val="28"/>
          <w:lang w:val="uk-UA"/>
        </w:rPr>
        <w:t>ів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 палат Комісії встановлено пунктом 38</w:t>
      </w:r>
      <w:r w:rsidR="00DE18EB">
        <w:rPr>
          <w:rFonts w:ascii="Times New Roman" w:hAnsi="Times New Roman"/>
          <w:sz w:val="28"/>
          <w:szCs w:val="28"/>
          <w:lang w:val="en-US"/>
        </w:rPr>
        <w:t> </w:t>
      </w:r>
      <w:r w:rsidRPr="00487691">
        <w:rPr>
          <w:rFonts w:ascii="Times New Roman" w:hAnsi="Times New Roman"/>
          <w:spacing w:val="-6"/>
          <w:sz w:val="28"/>
          <w:szCs w:val="28"/>
          <w:lang w:val="uk-UA"/>
        </w:rPr>
        <w:t>параграф</w:t>
      </w:r>
      <w:r w:rsidR="0065789D" w:rsidRPr="00487691">
        <w:rPr>
          <w:rFonts w:ascii="Times New Roman" w:hAnsi="Times New Roman"/>
          <w:spacing w:val="-6"/>
          <w:sz w:val="28"/>
          <w:szCs w:val="28"/>
          <w:lang w:val="uk-UA"/>
        </w:rPr>
        <w:t>а</w:t>
      </w:r>
      <w:r w:rsidR="00DE18EB">
        <w:rPr>
          <w:rFonts w:ascii="Times New Roman" w:hAnsi="Times New Roman"/>
          <w:spacing w:val="-6"/>
          <w:sz w:val="28"/>
          <w:szCs w:val="28"/>
          <w:lang w:val="en-US"/>
        </w:rPr>
        <w:t> </w:t>
      </w:r>
      <w:r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5 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розділу I Регламенту.  </w:t>
      </w:r>
    </w:p>
    <w:p w:rsidR="00D41D79" w:rsidRDefault="00A3716E" w:rsidP="00D41D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Рішенням Вищої кваліфікаційної комісії суддів України від </w:t>
      </w:r>
      <w:r w:rsidR="001C30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08</w:t>
      </w:r>
      <w:r w:rsidR="00A467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серпня 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2024</w:t>
      </w:r>
      <w:r w:rsidR="00DE18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A467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року</w:t>
      </w:r>
      <w:r w:rsidR="00DE18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 245/зп-2</w:t>
      </w:r>
      <w:r w:rsidR="00476A2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секретарем Першої палати Вищої кваліфікаційної комісії суддів України обрано члена Комісії Чумака Сергія Юрійовича строком на один рік.</w:t>
      </w:r>
    </w:p>
    <w:p w:rsidR="00D07174" w:rsidRDefault="00A3716E" w:rsidP="00D41D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Пунктом 18 параграфа 5 розділу I Регламенту визначено, що Комісія у пленарному складі не пізніше п’яти днів з дня, коли посада Голови Комісії, його заступника чи секретаря </w:t>
      </w:r>
      <w:r w:rsidR="002527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алати стала вакантною, обирає таємним голосуванням більшістю голосів від установленого Законом складу Комісії Голову, його заступника чи секретаря </w:t>
      </w:r>
      <w:r w:rsidR="002527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алати відповідно на строк, визначений у рішенні Комісії, але не більше ніж на два роки.</w:t>
      </w:r>
    </w:p>
    <w:p w:rsidR="00A3716E" w:rsidRPr="001C2D43" w:rsidRDefault="00A3716E" w:rsidP="00742F2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Рішенням Вищої кваліфікаційної комісії суддів України від </w:t>
      </w:r>
      <w:r w:rsidR="00BB3D7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06</w:t>
      </w:r>
      <w:r w:rsidR="00A467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серпня</w:t>
      </w:r>
      <w:r w:rsidR="00D071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2025</w:t>
      </w:r>
      <w:r w:rsidR="00DE18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 </w:t>
      </w:r>
      <w:r w:rsidR="00A4672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року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D071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147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/зп-25 Головою Комісії обрано члена Комісії </w:t>
      </w:r>
      <w:r w:rsidR="00D0717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Пасічника Андрія </w:t>
      </w:r>
      <w:r w:rsidR="00D07174" w:rsidRPr="001C2D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Володимировича</w:t>
      </w:r>
      <w:r w:rsidRPr="001C2D4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який </w:t>
      </w:r>
      <w:r w:rsidRPr="001C2D43">
        <w:rPr>
          <w:rFonts w:ascii="Times New Roman" w:hAnsi="Times New Roman"/>
          <w:sz w:val="28"/>
          <w:szCs w:val="28"/>
          <w:lang w:val="uk-UA"/>
        </w:rPr>
        <w:t>не є суддею</w:t>
      </w:r>
      <w:r w:rsidR="002F14C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14CB" w:rsidRPr="002F14CB">
        <w:rPr>
          <w:rFonts w:ascii="Times New Roman" w:hAnsi="Times New Roman"/>
          <w:sz w:val="28"/>
          <w:szCs w:val="28"/>
          <w:lang w:val="uk-UA"/>
        </w:rPr>
        <w:t xml:space="preserve">заступником Голови Комісії обрано члена Комісії </w:t>
      </w:r>
      <w:proofErr w:type="spellStart"/>
      <w:r w:rsidR="002F14CB" w:rsidRPr="002F14CB">
        <w:rPr>
          <w:rFonts w:ascii="Times New Roman" w:hAnsi="Times New Roman"/>
          <w:sz w:val="28"/>
          <w:szCs w:val="28"/>
          <w:lang w:val="uk-UA"/>
        </w:rPr>
        <w:t>Коліуша</w:t>
      </w:r>
      <w:proofErr w:type="spellEnd"/>
      <w:r w:rsidR="002F14CB" w:rsidRPr="002F14CB">
        <w:rPr>
          <w:rFonts w:ascii="Times New Roman" w:hAnsi="Times New Roman"/>
          <w:sz w:val="28"/>
          <w:szCs w:val="28"/>
          <w:lang w:val="uk-UA"/>
        </w:rPr>
        <w:t xml:space="preserve"> Олега Леонідовича, який є суддею.</w:t>
      </w:r>
    </w:p>
    <w:p w:rsidR="002D022B" w:rsidRPr="00487691" w:rsidRDefault="00812DA7" w:rsidP="00742F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Відповідно до</w:t>
      </w:r>
      <w:r w:rsidR="002D022B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абзацу другого</w:t>
      </w:r>
      <w:r w:rsidR="00782828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пункту 37 параграфа</w:t>
      </w:r>
      <w:r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5 розділу I Регламенту </w:t>
      </w:r>
      <w:r w:rsidR="007061A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="002D022B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екретарем </w:t>
      </w:r>
      <w:r w:rsidR="007061A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2D022B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алати, голова якої є суддею або суддею у відставці, обирається член Комісії, який не є суддею або суддею у відставці. Секретарем </w:t>
      </w:r>
      <w:r w:rsidR="00A2281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2D022B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алати, голова якої не є суддею або суддею у відставці, обирається член Комісії, який є суддею або суддею у відставці.</w:t>
      </w:r>
    </w:p>
    <w:p w:rsidR="00812DA7" w:rsidRPr="00487691" w:rsidRDefault="00782828" w:rsidP="00742F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Пунктом 38 параграфа</w:t>
      </w:r>
      <w:r w:rsidR="00812DA7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5 розділу I Регламенту визначено, що заступник Голови Комісії та секретарі </w:t>
      </w:r>
      <w:r w:rsidR="007061A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</w:t>
      </w:r>
      <w:r w:rsidR="00812DA7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алат обираються на посади за про</w:t>
      </w:r>
      <w:r w:rsidR="00B7398E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цедурою, визначеною пунктами 24–</w:t>
      </w:r>
      <w:r w:rsidR="00812DA7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37 Регламенту. Отже</w:t>
      </w:r>
      <w:r w:rsidR="00B7398E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812DA7" w:rsidRPr="0048769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 результатами таємного голосування з обрання секретарів обох палат Комісії ухвалюється рішення Комісії, що підписують усі члени Комісії, які брали участь у засіданні.</w:t>
      </w:r>
    </w:p>
    <w:p w:rsidR="001519A7" w:rsidRPr="00487691" w:rsidRDefault="001519A7" w:rsidP="00742F2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  <w:t>Відповідно до протоколу лічильної комісії про результати</w:t>
      </w:r>
      <w:r w:rsidR="0025272E">
        <w:rPr>
          <w:rFonts w:ascii="Times New Roman" w:hAnsi="Times New Roman"/>
          <w:sz w:val="28"/>
          <w:szCs w:val="28"/>
          <w:lang w:val="uk-UA"/>
        </w:rPr>
        <w:t xml:space="preserve"> таємного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 голосування з обрання секретаря Першої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палати </w:t>
      </w:r>
      <w:r w:rsidRPr="00487691">
        <w:rPr>
          <w:rFonts w:ascii="Times New Roman" w:hAnsi="Times New Roman"/>
          <w:sz w:val="28"/>
          <w:szCs w:val="28"/>
          <w:lang w:val="uk-UA"/>
        </w:rPr>
        <w:t>Комісії від</w:t>
      </w:r>
      <w:r w:rsidR="00BB3D7E">
        <w:rPr>
          <w:rFonts w:ascii="Times New Roman" w:hAnsi="Times New Roman"/>
          <w:sz w:val="28"/>
          <w:szCs w:val="28"/>
          <w:lang w:val="uk-UA"/>
        </w:rPr>
        <w:t xml:space="preserve"> 06</w:t>
      </w:r>
      <w:r w:rsidR="00A4672B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Pr="00487691">
        <w:rPr>
          <w:rFonts w:ascii="Times New Roman" w:hAnsi="Times New Roman"/>
          <w:sz w:val="28"/>
          <w:szCs w:val="28"/>
          <w:lang w:val="uk-UA"/>
        </w:rPr>
        <w:t>202</w:t>
      </w:r>
      <w:r w:rsidR="00AA5907" w:rsidRPr="00487691">
        <w:rPr>
          <w:rFonts w:ascii="Times New Roman" w:hAnsi="Times New Roman"/>
          <w:sz w:val="28"/>
          <w:szCs w:val="28"/>
          <w:lang w:val="uk-UA"/>
        </w:rPr>
        <w:t>5</w:t>
      </w:r>
      <w:r w:rsidR="00A4672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98E" w:rsidRPr="001B6AE6">
        <w:rPr>
          <w:rFonts w:ascii="Times New Roman" w:hAnsi="Times New Roman"/>
          <w:sz w:val="28"/>
          <w:szCs w:val="28"/>
          <w:lang w:val="uk-UA"/>
        </w:rPr>
        <w:t>за кандидата</w:t>
      </w:r>
      <w:r w:rsidRPr="001B6A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083A" w:rsidRPr="001B6AE6">
        <w:rPr>
          <w:rFonts w:ascii="Times New Roman" w:hAnsi="Times New Roman"/>
          <w:sz w:val="28"/>
          <w:szCs w:val="28"/>
          <w:lang w:val="uk-UA"/>
        </w:rPr>
        <w:t>Чумака Сергія Юрійовича</w:t>
      </w:r>
      <w:r w:rsidRPr="001B6AE6">
        <w:rPr>
          <w:rFonts w:ascii="Times New Roman" w:hAnsi="Times New Roman"/>
          <w:sz w:val="28"/>
          <w:szCs w:val="28"/>
          <w:lang w:val="uk-UA"/>
        </w:rPr>
        <w:t xml:space="preserve">, який є </w:t>
      </w:r>
      <w:r w:rsidR="00AA5907" w:rsidRPr="001B6AE6">
        <w:rPr>
          <w:rFonts w:ascii="Times New Roman" w:hAnsi="Times New Roman"/>
          <w:sz w:val="28"/>
          <w:szCs w:val="28"/>
          <w:lang w:val="uk-UA"/>
        </w:rPr>
        <w:t>суддею</w:t>
      </w:r>
      <w:r w:rsidRPr="001B6AE6">
        <w:rPr>
          <w:rFonts w:ascii="Times New Roman" w:hAnsi="Times New Roman"/>
          <w:sz w:val="28"/>
          <w:szCs w:val="28"/>
          <w:lang w:val="uk-UA"/>
        </w:rPr>
        <w:t>, на посаду секретаря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 Першої </w:t>
      </w:r>
      <w:r w:rsidRPr="004876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палати </w:t>
      </w:r>
      <w:r w:rsidRPr="00487691">
        <w:rPr>
          <w:rFonts w:ascii="Times New Roman" w:hAnsi="Times New Roman"/>
          <w:sz w:val="28"/>
          <w:szCs w:val="28"/>
          <w:lang w:val="uk-UA"/>
        </w:rPr>
        <w:t>Вищої кваліфікаційної комісії суддів України проголосували</w:t>
      </w:r>
      <w:r w:rsidR="00585BED">
        <w:rPr>
          <w:rFonts w:ascii="Times New Roman" w:hAnsi="Times New Roman"/>
          <w:sz w:val="28"/>
          <w:szCs w:val="28"/>
          <w:lang w:val="uk-UA"/>
        </w:rPr>
        <w:t xml:space="preserve"> 12</w:t>
      </w:r>
      <w:r w:rsidR="00DE18EB">
        <w:rPr>
          <w:rFonts w:ascii="Times New Roman" w:hAnsi="Times New Roman"/>
          <w:sz w:val="28"/>
          <w:szCs w:val="28"/>
          <w:lang w:val="en-US"/>
        </w:rPr>
        <w:t> </w:t>
      </w:r>
      <w:r w:rsidRPr="00487691">
        <w:rPr>
          <w:rFonts w:ascii="Times New Roman" w:hAnsi="Times New Roman"/>
          <w:sz w:val="28"/>
          <w:szCs w:val="28"/>
          <w:lang w:val="uk-UA"/>
        </w:rPr>
        <w:t>членів</w:t>
      </w:r>
      <w:r w:rsidR="00DE18EB">
        <w:rPr>
          <w:rFonts w:ascii="Times New Roman" w:hAnsi="Times New Roman"/>
          <w:sz w:val="28"/>
          <w:szCs w:val="28"/>
          <w:lang w:val="en-US"/>
        </w:rPr>
        <w:t> 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Комісії, що становить більшість від загального складу членів Комісії.  </w:t>
      </w:r>
    </w:p>
    <w:p w:rsidR="001519A7" w:rsidRPr="00487691" w:rsidRDefault="001519A7" w:rsidP="00742F2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tab/>
        <w:t>Керуючись статтями 92, 93, 98, 101 Закону</w:t>
      </w:r>
      <w:r w:rsidR="00B7398E" w:rsidRPr="00487691">
        <w:rPr>
          <w:rFonts w:ascii="Times New Roman" w:hAnsi="Times New Roman"/>
          <w:sz w:val="28"/>
          <w:szCs w:val="28"/>
          <w:lang w:val="uk-UA"/>
        </w:rPr>
        <w:t xml:space="preserve"> України «Про судоустрій і статус суддів»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87691">
        <w:rPr>
          <w:rFonts w:ascii="Times New Roman" w:hAnsi="Times New Roman"/>
          <w:spacing w:val="-6"/>
          <w:sz w:val="28"/>
          <w:szCs w:val="28"/>
          <w:lang w:val="uk-UA"/>
        </w:rPr>
        <w:t>параграф</w:t>
      </w:r>
      <w:r w:rsidR="002130E1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 5</w:t>
      </w:r>
      <w:r w:rsidR="002130E1">
        <w:rPr>
          <w:rFonts w:ascii="Times New Roman" w:hAnsi="Times New Roman"/>
          <w:spacing w:val="-6"/>
          <w:sz w:val="28"/>
          <w:szCs w:val="28"/>
          <w:lang w:val="uk-UA"/>
        </w:rPr>
        <w:t>, 6</w:t>
      </w:r>
      <w:r w:rsidRPr="00487691">
        <w:rPr>
          <w:rFonts w:ascii="Times New Roman" w:hAnsi="Times New Roman"/>
          <w:spacing w:val="-6"/>
          <w:sz w:val="28"/>
          <w:szCs w:val="28"/>
          <w:lang w:val="uk-UA"/>
        </w:rPr>
        <w:t xml:space="preserve"> розділу I Регламенту</w:t>
      </w:r>
      <w:r w:rsidR="00B7398E" w:rsidRPr="00487691">
        <w:rPr>
          <w:rFonts w:ascii="Times New Roman" w:hAnsi="Times New Roman"/>
          <w:sz w:val="28"/>
          <w:szCs w:val="28"/>
          <w:lang w:val="uk-UA"/>
        </w:rPr>
        <w:t xml:space="preserve"> Вищої кваліфікаційної комісії суддів України</w:t>
      </w:r>
      <w:r w:rsidRPr="00487691">
        <w:rPr>
          <w:rFonts w:ascii="Times New Roman" w:hAnsi="Times New Roman"/>
          <w:sz w:val="28"/>
          <w:szCs w:val="28"/>
          <w:lang w:val="uk-UA"/>
        </w:rPr>
        <w:t xml:space="preserve">, Вища кваліфікаційна комісія суддів України </w:t>
      </w:r>
    </w:p>
    <w:p w:rsidR="00585BED" w:rsidRDefault="00585BED" w:rsidP="00742F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87C66" w:rsidRDefault="00087C66" w:rsidP="00585B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87C66" w:rsidRDefault="00087C66" w:rsidP="00585B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377C" w:rsidRDefault="0047377C" w:rsidP="00742F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377C" w:rsidRDefault="0047377C" w:rsidP="00742F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519A7" w:rsidRDefault="001519A7" w:rsidP="00742F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87691">
        <w:rPr>
          <w:rFonts w:ascii="Times New Roman" w:hAnsi="Times New Roman"/>
          <w:sz w:val="28"/>
          <w:szCs w:val="28"/>
          <w:lang w:val="uk-UA"/>
        </w:rPr>
        <w:lastRenderedPageBreak/>
        <w:t>вирішила:</w:t>
      </w:r>
    </w:p>
    <w:p w:rsidR="00960DC4" w:rsidRDefault="00960DC4" w:rsidP="00742F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7A31" w:rsidRPr="0037642C" w:rsidRDefault="001519A7" w:rsidP="00742F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642C">
        <w:rPr>
          <w:rStyle w:val="FontStyle16"/>
          <w:spacing w:val="-20"/>
          <w:sz w:val="28"/>
          <w:szCs w:val="28"/>
          <w:lang w:val="uk-UA" w:eastAsia="uk-UA"/>
        </w:rPr>
        <w:t xml:space="preserve">обрати на посаду </w:t>
      </w:r>
      <w:r w:rsidRPr="0037642C">
        <w:rPr>
          <w:rFonts w:ascii="Times New Roman" w:hAnsi="Times New Roman"/>
          <w:sz w:val="28"/>
          <w:szCs w:val="28"/>
          <w:lang w:val="uk-UA"/>
        </w:rPr>
        <w:t xml:space="preserve">секретаря Першої </w:t>
      </w:r>
      <w:r w:rsidRPr="0037642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палати </w:t>
      </w:r>
      <w:r w:rsidRPr="0037642C">
        <w:rPr>
          <w:rFonts w:ascii="Times New Roman" w:hAnsi="Times New Roman"/>
          <w:sz w:val="28"/>
          <w:szCs w:val="28"/>
          <w:lang w:val="uk-UA"/>
        </w:rPr>
        <w:t xml:space="preserve">Вищої кваліфікаційної комісії суддів України члена Комісії </w:t>
      </w:r>
      <w:r w:rsidR="00585BED" w:rsidRPr="0037642C">
        <w:rPr>
          <w:rFonts w:ascii="Times New Roman" w:hAnsi="Times New Roman"/>
          <w:sz w:val="28"/>
          <w:szCs w:val="28"/>
          <w:lang w:val="uk-UA"/>
        </w:rPr>
        <w:t>Чумака Сергія Юрійовича</w:t>
      </w:r>
      <w:r w:rsidR="007A7548" w:rsidRPr="0037642C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 w:rsidR="00585BED" w:rsidRPr="0037642C">
        <w:rPr>
          <w:rFonts w:ascii="Times New Roman" w:hAnsi="Times New Roman"/>
          <w:sz w:val="28"/>
          <w:szCs w:val="28"/>
          <w:lang w:val="uk-UA"/>
        </w:rPr>
        <w:t>один рік</w:t>
      </w:r>
      <w:r w:rsidR="00C77F45" w:rsidRPr="0037642C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DE18EB">
        <w:rPr>
          <w:rFonts w:ascii="Times New Roman" w:hAnsi="Times New Roman"/>
          <w:sz w:val="28"/>
          <w:szCs w:val="28"/>
          <w:lang w:val="en-US"/>
        </w:rPr>
        <w:t> </w:t>
      </w:r>
      <w:r w:rsidR="00D25C8F" w:rsidRPr="0037642C">
        <w:rPr>
          <w:rFonts w:ascii="Times New Roman" w:hAnsi="Times New Roman"/>
          <w:sz w:val="28"/>
          <w:szCs w:val="28"/>
          <w:lang w:val="uk-UA"/>
        </w:rPr>
        <w:t>08</w:t>
      </w:r>
      <w:r w:rsidR="00DE18EB">
        <w:rPr>
          <w:rFonts w:ascii="Times New Roman" w:hAnsi="Times New Roman"/>
          <w:sz w:val="28"/>
          <w:szCs w:val="28"/>
          <w:lang w:val="en-US"/>
        </w:rPr>
        <w:t> </w:t>
      </w:r>
      <w:r w:rsidR="00A4672B" w:rsidRPr="0037642C">
        <w:rPr>
          <w:rFonts w:ascii="Times New Roman" w:hAnsi="Times New Roman"/>
          <w:sz w:val="28"/>
          <w:szCs w:val="28"/>
          <w:lang w:val="uk-UA"/>
        </w:rPr>
        <w:t>серпня</w:t>
      </w:r>
      <w:r w:rsidR="00DE18EB">
        <w:rPr>
          <w:rFonts w:ascii="Times New Roman" w:hAnsi="Times New Roman"/>
          <w:sz w:val="28"/>
          <w:szCs w:val="28"/>
          <w:lang w:val="en-US"/>
        </w:rPr>
        <w:t> </w:t>
      </w:r>
      <w:r w:rsidR="00D25C8F" w:rsidRPr="0037642C">
        <w:rPr>
          <w:rFonts w:ascii="Times New Roman" w:hAnsi="Times New Roman"/>
          <w:sz w:val="28"/>
          <w:szCs w:val="28"/>
          <w:lang w:val="uk-UA"/>
        </w:rPr>
        <w:t>2025</w:t>
      </w:r>
      <w:r w:rsidR="00A4672B" w:rsidRPr="0037642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77F45" w:rsidRPr="0037642C">
        <w:rPr>
          <w:rFonts w:ascii="Times New Roman" w:hAnsi="Times New Roman"/>
          <w:sz w:val="28"/>
          <w:szCs w:val="28"/>
          <w:lang w:val="uk-UA"/>
        </w:rPr>
        <w:t>.</w:t>
      </w:r>
    </w:p>
    <w:tbl>
      <w:tblPr>
        <w:tblStyle w:val="ac"/>
        <w:tblW w:w="9633" w:type="dxa"/>
        <w:tblInd w:w="5" w:type="dxa"/>
        <w:tblLook w:val="04A0" w:firstRow="1" w:lastRow="0" w:firstColumn="1" w:lastColumn="0" w:noHBand="0" w:noVBand="1"/>
      </w:tblPr>
      <w:tblGrid>
        <w:gridCol w:w="9633"/>
      </w:tblGrid>
      <w:tr w:rsidR="00A85AFB" w:rsidRPr="00487691" w:rsidTr="00A85AFB">
        <w:tc>
          <w:tcPr>
            <w:tcW w:w="9633" w:type="dxa"/>
            <w:tcBorders>
              <w:top w:val="nil"/>
              <w:left w:val="nil"/>
              <w:bottom w:val="nil"/>
              <w:right w:val="nil"/>
            </w:tcBorders>
          </w:tcPr>
          <w:p w:rsidR="00A85AFB" w:rsidRDefault="00A85AFB"/>
          <w:tbl>
            <w:tblPr>
              <w:tblStyle w:val="ac"/>
              <w:tblW w:w="92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16"/>
              <w:gridCol w:w="2876"/>
            </w:tblGrid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bookmarkStart w:id="0" w:name="_GoBack"/>
                  <w:r w:rsidRPr="00AF5CD1">
                    <w:rPr>
                      <w:sz w:val="28"/>
                      <w:szCs w:val="28"/>
                      <w:lang w:val="uk-UA"/>
                    </w:rPr>
                    <w:t>Головуючий</w:t>
                  </w: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r w:rsidRPr="00AF5CD1">
                    <w:rPr>
                      <w:sz w:val="28"/>
                      <w:szCs w:val="28"/>
                      <w:lang w:val="uk-UA"/>
                    </w:rPr>
                    <w:t>Галина ШЕВЧУК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Члени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Комісії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Михайло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БОГОНІС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Людмила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ВОЛКОВА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Віталій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ГАЦЕЛЮК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Ярослав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ДУХ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Роман КИДИСЮК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Надія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КОБЕЦЬКА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Олег КОЛІУШ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Руслан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МЕЛЬНИК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Олексій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ОМЕЛЬЯН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Андрій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ПАСІЧНИК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Роман САБОДАШ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Руслан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СИДОРОВИЧ</w:t>
                  </w:r>
                </w:p>
              </w:tc>
            </w:tr>
            <w:tr w:rsidR="00A85AFB" w:rsidRPr="00AF5CD1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85AFB" w:rsidTr="00A85AFB">
              <w:tc>
                <w:tcPr>
                  <w:tcW w:w="6416" w:type="dxa"/>
                </w:tcPr>
                <w:p w:rsidR="00A85AFB" w:rsidRPr="00AF5CD1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76" w:type="dxa"/>
                </w:tcPr>
                <w:p w:rsidR="00A85AFB" w:rsidRDefault="00A85AFB" w:rsidP="00120794">
                  <w:pPr>
                    <w:pStyle w:val="a5"/>
                    <w:tabs>
                      <w:tab w:val="clear" w:pos="709"/>
                      <w:tab w:val="left" w:pos="360"/>
                    </w:tabs>
                    <w:spacing w:after="0" w:line="240" w:lineRule="auto"/>
                    <w:jc w:val="both"/>
                    <w:rPr>
                      <w:color w:val="auto"/>
                      <w:sz w:val="28"/>
                      <w:szCs w:val="28"/>
                      <w:lang w:val="en-US"/>
                    </w:rPr>
                  </w:pPr>
                  <w:proofErr w:type="spellStart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>Сергій</w:t>
                  </w:r>
                  <w:proofErr w:type="spellEnd"/>
                  <w:r w:rsidRPr="00AF5CD1">
                    <w:rPr>
                      <w:color w:val="auto"/>
                      <w:sz w:val="28"/>
                      <w:szCs w:val="28"/>
                      <w:lang w:val="en-US"/>
                    </w:rPr>
                    <w:t xml:space="preserve"> ЧУМАК</w:t>
                  </w:r>
                </w:p>
              </w:tc>
            </w:tr>
            <w:bookmarkEnd w:id="0"/>
          </w:tbl>
          <w:p w:rsidR="00A85AFB" w:rsidRPr="00487691" w:rsidRDefault="00A85AFB" w:rsidP="001519A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D3838" w:rsidRDefault="008D3838" w:rsidP="004B3E9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D3838" w:rsidSect="00960DC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7C1A" w:rsidRDefault="00467C1A" w:rsidP="00312A50">
      <w:pPr>
        <w:spacing w:after="0" w:line="240" w:lineRule="auto"/>
      </w:pPr>
      <w:r>
        <w:separator/>
      </w:r>
    </w:p>
  </w:endnote>
  <w:endnote w:type="continuationSeparator" w:id="0">
    <w:p w:rsidR="00467C1A" w:rsidRDefault="00467C1A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7C1A" w:rsidRDefault="00467C1A" w:rsidP="00312A50">
      <w:pPr>
        <w:spacing w:after="0" w:line="240" w:lineRule="auto"/>
      </w:pPr>
      <w:r>
        <w:separator/>
      </w:r>
    </w:p>
  </w:footnote>
  <w:footnote w:type="continuationSeparator" w:id="0">
    <w:p w:rsidR="00467C1A" w:rsidRDefault="00467C1A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577220"/>
      <w:docPartObj>
        <w:docPartGallery w:val="Page Numbers (Top of Page)"/>
        <w:docPartUnique/>
      </w:docPartObj>
    </w:sdtPr>
    <w:sdtEndPr/>
    <w:sdtContent>
      <w:p w:rsidR="001303FF" w:rsidRDefault="001303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548">
          <w:rPr>
            <w:noProof/>
          </w:rPr>
          <w:t>3</w:t>
        </w:r>
        <w:r>
          <w:fldChar w:fldCharType="end"/>
        </w:r>
      </w:p>
    </w:sdtContent>
  </w:sdt>
  <w:p w:rsidR="001303FF" w:rsidRDefault="001303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8EE37E1"/>
    <w:multiLevelType w:val="hybridMultilevel"/>
    <w:tmpl w:val="9DEAA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F8503A9"/>
    <w:multiLevelType w:val="multilevel"/>
    <w:tmpl w:val="1354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1"/>
    <w:rsid w:val="00006F0F"/>
    <w:rsid w:val="00007335"/>
    <w:rsid w:val="000160FF"/>
    <w:rsid w:val="00017BBD"/>
    <w:rsid w:val="00017D20"/>
    <w:rsid w:val="00030AC4"/>
    <w:rsid w:val="00035D5D"/>
    <w:rsid w:val="00061285"/>
    <w:rsid w:val="00072034"/>
    <w:rsid w:val="000804F5"/>
    <w:rsid w:val="00085842"/>
    <w:rsid w:val="00087C66"/>
    <w:rsid w:val="00091E27"/>
    <w:rsid w:val="00096981"/>
    <w:rsid w:val="000969A9"/>
    <w:rsid w:val="000B7F10"/>
    <w:rsid w:val="000D19B5"/>
    <w:rsid w:val="000E3372"/>
    <w:rsid w:val="000E6558"/>
    <w:rsid w:val="00101593"/>
    <w:rsid w:val="00105A17"/>
    <w:rsid w:val="001141A8"/>
    <w:rsid w:val="001162D3"/>
    <w:rsid w:val="001163CE"/>
    <w:rsid w:val="00120794"/>
    <w:rsid w:val="00127348"/>
    <w:rsid w:val="001303FF"/>
    <w:rsid w:val="001519A7"/>
    <w:rsid w:val="00156572"/>
    <w:rsid w:val="00156CAE"/>
    <w:rsid w:val="0016157B"/>
    <w:rsid w:val="00190DF6"/>
    <w:rsid w:val="001A4375"/>
    <w:rsid w:val="001A677D"/>
    <w:rsid w:val="001A77C5"/>
    <w:rsid w:val="001B1F34"/>
    <w:rsid w:val="001B6AE6"/>
    <w:rsid w:val="001C2D43"/>
    <w:rsid w:val="001C30F4"/>
    <w:rsid w:val="001C6EB9"/>
    <w:rsid w:val="001F6147"/>
    <w:rsid w:val="00203D21"/>
    <w:rsid w:val="002130E1"/>
    <w:rsid w:val="00223C8B"/>
    <w:rsid w:val="00226D5E"/>
    <w:rsid w:val="00232626"/>
    <w:rsid w:val="00236BD4"/>
    <w:rsid w:val="00246414"/>
    <w:rsid w:val="00247534"/>
    <w:rsid w:val="00251102"/>
    <w:rsid w:val="0025272E"/>
    <w:rsid w:val="00266747"/>
    <w:rsid w:val="0028482B"/>
    <w:rsid w:val="00287A31"/>
    <w:rsid w:val="002A6222"/>
    <w:rsid w:val="002B2D61"/>
    <w:rsid w:val="002D022B"/>
    <w:rsid w:val="002E1FD7"/>
    <w:rsid w:val="002E436F"/>
    <w:rsid w:val="002F14CB"/>
    <w:rsid w:val="00312A50"/>
    <w:rsid w:val="00312AC5"/>
    <w:rsid w:val="00313F72"/>
    <w:rsid w:val="00330BF6"/>
    <w:rsid w:val="00336F35"/>
    <w:rsid w:val="0034292A"/>
    <w:rsid w:val="00347D1D"/>
    <w:rsid w:val="00356195"/>
    <w:rsid w:val="00371D42"/>
    <w:rsid w:val="003732ED"/>
    <w:rsid w:val="0037642C"/>
    <w:rsid w:val="003914C8"/>
    <w:rsid w:val="003C5658"/>
    <w:rsid w:val="003D145C"/>
    <w:rsid w:val="003E5F43"/>
    <w:rsid w:val="00406B11"/>
    <w:rsid w:val="004135E9"/>
    <w:rsid w:val="00413DD5"/>
    <w:rsid w:val="00415AA1"/>
    <w:rsid w:val="004317B6"/>
    <w:rsid w:val="00434B27"/>
    <w:rsid w:val="00442749"/>
    <w:rsid w:val="0044759D"/>
    <w:rsid w:val="004477E7"/>
    <w:rsid w:val="00461D1D"/>
    <w:rsid w:val="0046441E"/>
    <w:rsid w:val="004660E5"/>
    <w:rsid w:val="00467C1A"/>
    <w:rsid w:val="0047377C"/>
    <w:rsid w:val="00476A2D"/>
    <w:rsid w:val="00487691"/>
    <w:rsid w:val="00491540"/>
    <w:rsid w:val="00492B5E"/>
    <w:rsid w:val="004958DA"/>
    <w:rsid w:val="004B312C"/>
    <w:rsid w:val="004B3E98"/>
    <w:rsid w:val="004B7AA0"/>
    <w:rsid w:val="004C2D55"/>
    <w:rsid w:val="004C58A4"/>
    <w:rsid w:val="004D3EB7"/>
    <w:rsid w:val="004D5FB5"/>
    <w:rsid w:val="004E0FC3"/>
    <w:rsid w:val="004E5479"/>
    <w:rsid w:val="004F3626"/>
    <w:rsid w:val="004F44CD"/>
    <w:rsid w:val="004F7425"/>
    <w:rsid w:val="00535703"/>
    <w:rsid w:val="005636C2"/>
    <w:rsid w:val="0056464A"/>
    <w:rsid w:val="00582FBC"/>
    <w:rsid w:val="00583F27"/>
    <w:rsid w:val="00585BED"/>
    <w:rsid w:val="00592296"/>
    <w:rsid w:val="005932B9"/>
    <w:rsid w:val="005A2554"/>
    <w:rsid w:val="005A35CA"/>
    <w:rsid w:val="005C463E"/>
    <w:rsid w:val="005C5043"/>
    <w:rsid w:val="005D0332"/>
    <w:rsid w:val="005D083A"/>
    <w:rsid w:val="005D443F"/>
    <w:rsid w:val="005D715C"/>
    <w:rsid w:val="005E655E"/>
    <w:rsid w:val="006047A5"/>
    <w:rsid w:val="006233B8"/>
    <w:rsid w:val="00641098"/>
    <w:rsid w:val="00645ADE"/>
    <w:rsid w:val="00651709"/>
    <w:rsid w:val="006535E7"/>
    <w:rsid w:val="0065789D"/>
    <w:rsid w:val="00662EDB"/>
    <w:rsid w:val="00664E4E"/>
    <w:rsid w:val="0068168C"/>
    <w:rsid w:val="00682535"/>
    <w:rsid w:val="00697ADC"/>
    <w:rsid w:val="006A1112"/>
    <w:rsid w:val="006A754D"/>
    <w:rsid w:val="006C1722"/>
    <w:rsid w:val="006C757D"/>
    <w:rsid w:val="006C7A27"/>
    <w:rsid w:val="006D1164"/>
    <w:rsid w:val="006D623F"/>
    <w:rsid w:val="00700E25"/>
    <w:rsid w:val="007061AE"/>
    <w:rsid w:val="00712BA1"/>
    <w:rsid w:val="0071313A"/>
    <w:rsid w:val="0071625E"/>
    <w:rsid w:val="00725222"/>
    <w:rsid w:val="00742F23"/>
    <w:rsid w:val="00744300"/>
    <w:rsid w:val="00747A10"/>
    <w:rsid w:val="007533B8"/>
    <w:rsid w:val="00764711"/>
    <w:rsid w:val="00771D76"/>
    <w:rsid w:val="00782828"/>
    <w:rsid w:val="007976D9"/>
    <w:rsid w:val="007A6C13"/>
    <w:rsid w:val="007A7548"/>
    <w:rsid w:val="007B000F"/>
    <w:rsid w:val="007B2AB2"/>
    <w:rsid w:val="007B3DE0"/>
    <w:rsid w:val="007C1C0F"/>
    <w:rsid w:val="007C3251"/>
    <w:rsid w:val="007D0B3E"/>
    <w:rsid w:val="007D79FA"/>
    <w:rsid w:val="007F07BA"/>
    <w:rsid w:val="007F3289"/>
    <w:rsid w:val="007F5F14"/>
    <w:rsid w:val="007F699A"/>
    <w:rsid w:val="00812DA7"/>
    <w:rsid w:val="00841ACE"/>
    <w:rsid w:val="00860F41"/>
    <w:rsid w:val="0088692E"/>
    <w:rsid w:val="008947C3"/>
    <w:rsid w:val="008A0EE3"/>
    <w:rsid w:val="008B4AEE"/>
    <w:rsid w:val="008B7CB6"/>
    <w:rsid w:val="008C107D"/>
    <w:rsid w:val="008C4911"/>
    <w:rsid w:val="008C5924"/>
    <w:rsid w:val="008D1FB7"/>
    <w:rsid w:val="008D3838"/>
    <w:rsid w:val="008D6A88"/>
    <w:rsid w:val="008E2868"/>
    <w:rsid w:val="008F1D56"/>
    <w:rsid w:val="008F78C3"/>
    <w:rsid w:val="00911331"/>
    <w:rsid w:val="00924AAB"/>
    <w:rsid w:val="009455B7"/>
    <w:rsid w:val="009500B4"/>
    <w:rsid w:val="00952BDF"/>
    <w:rsid w:val="00960DC4"/>
    <w:rsid w:val="00970EA0"/>
    <w:rsid w:val="00974716"/>
    <w:rsid w:val="009830E6"/>
    <w:rsid w:val="009876A2"/>
    <w:rsid w:val="00997785"/>
    <w:rsid w:val="009B6623"/>
    <w:rsid w:val="009C1124"/>
    <w:rsid w:val="009D69D2"/>
    <w:rsid w:val="009E154A"/>
    <w:rsid w:val="009E2BD7"/>
    <w:rsid w:val="009E39DD"/>
    <w:rsid w:val="009E6036"/>
    <w:rsid w:val="00A009D1"/>
    <w:rsid w:val="00A16747"/>
    <w:rsid w:val="00A22585"/>
    <w:rsid w:val="00A22813"/>
    <w:rsid w:val="00A255E8"/>
    <w:rsid w:val="00A32A1E"/>
    <w:rsid w:val="00A33E65"/>
    <w:rsid w:val="00A34DDC"/>
    <w:rsid w:val="00A3716E"/>
    <w:rsid w:val="00A37ADF"/>
    <w:rsid w:val="00A42100"/>
    <w:rsid w:val="00A4672B"/>
    <w:rsid w:val="00A57494"/>
    <w:rsid w:val="00A5795B"/>
    <w:rsid w:val="00A6147E"/>
    <w:rsid w:val="00A74C38"/>
    <w:rsid w:val="00A753BF"/>
    <w:rsid w:val="00A75AFD"/>
    <w:rsid w:val="00A85AFB"/>
    <w:rsid w:val="00A94D99"/>
    <w:rsid w:val="00A9611C"/>
    <w:rsid w:val="00AA5907"/>
    <w:rsid w:val="00AB1748"/>
    <w:rsid w:val="00AB2DC6"/>
    <w:rsid w:val="00AB3259"/>
    <w:rsid w:val="00AB67E6"/>
    <w:rsid w:val="00AF5CD1"/>
    <w:rsid w:val="00AF7A03"/>
    <w:rsid w:val="00B14657"/>
    <w:rsid w:val="00B246A5"/>
    <w:rsid w:val="00B25AE3"/>
    <w:rsid w:val="00B34034"/>
    <w:rsid w:val="00B34FB7"/>
    <w:rsid w:val="00B352C6"/>
    <w:rsid w:val="00B4170F"/>
    <w:rsid w:val="00B574AD"/>
    <w:rsid w:val="00B631F5"/>
    <w:rsid w:val="00B67F47"/>
    <w:rsid w:val="00B709AF"/>
    <w:rsid w:val="00B730EA"/>
    <w:rsid w:val="00B7398E"/>
    <w:rsid w:val="00B747D4"/>
    <w:rsid w:val="00B85E95"/>
    <w:rsid w:val="00B86136"/>
    <w:rsid w:val="00BA213F"/>
    <w:rsid w:val="00BA5840"/>
    <w:rsid w:val="00BB22AF"/>
    <w:rsid w:val="00BB3D7E"/>
    <w:rsid w:val="00BD3A5F"/>
    <w:rsid w:val="00C01A19"/>
    <w:rsid w:val="00C04C8D"/>
    <w:rsid w:val="00C06E74"/>
    <w:rsid w:val="00C11198"/>
    <w:rsid w:val="00C15A49"/>
    <w:rsid w:val="00C16780"/>
    <w:rsid w:val="00C23509"/>
    <w:rsid w:val="00C45F9E"/>
    <w:rsid w:val="00C62738"/>
    <w:rsid w:val="00C64C35"/>
    <w:rsid w:val="00C762FE"/>
    <w:rsid w:val="00C77665"/>
    <w:rsid w:val="00C77F45"/>
    <w:rsid w:val="00C84033"/>
    <w:rsid w:val="00C94629"/>
    <w:rsid w:val="00CB0AAE"/>
    <w:rsid w:val="00CB1644"/>
    <w:rsid w:val="00CC3C8E"/>
    <w:rsid w:val="00CD11AB"/>
    <w:rsid w:val="00CD1FF8"/>
    <w:rsid w:val="00CD279E"/>
    <w:rsid w:val="00CD4C02"/>
    <w:rsid w:val="00CE4FA3"/>
    <w:rsid w:val="00D07174"/>
    <w:rsid w:val="00D1008C"/>
    <w:rsid w:val="00D12720"/>
    <w:rsid w:val="00D25C8F"/>
    <w:rsid w:val="00D26B61"/>
    <w:rsid w:val="00D313D8"/>
    <w:rsid w:val="00D3718E"/>
    <w:rsid w:val="00D40EA0"/>
    <w:rsid w:val="00D41D79"/>
    <w:rsid w:val="00D51EF0"/>
    <w:rsid w:val="00D67E4E"/>
    <w:rsid w:val="00D71DD7"/>
    <w:rsid w:val="00D848FE"/>
    <w:rsid w:val="00D87ABC"/>
    <w:rsid w:val="00D9212E"/>
    <w:rsid w:val="00DA2687"/>
    <w:rsid w:val="00DB6821"/>
    <w:rsid w:val="00DC2F25"/>
    <w:rsid w:val="00DD049D"/>
    <w:rsid w:val="00DD29B4"/>
    <w:rsid w:val="00DD5D32"/>
    <w:rsid w:val="00DD77A4"/>
    <w:rsid w:val="00DE18EB"/>
    <w:rsid w:val="00DF420B"/>
    <w:rsid w:val="00E323A6"/>
    <w:rsid w:val="00E43198"/>
    <w:rsid w:val="00E53C5B"/>
    <w:rsid w:val="00E547D1"/>
    <w:rsid w:val="00E60A69"/>
    <w:rsid w:val="00E61A0D"/>
    <w:rsid w:val="00E77E52"/>
    <w:rsid w:val="00E901B2"/>
    <w:rsid w:val="00E912DD"/>
    <w:rsid w:val="00E94F18"/>
    <w:rsid w:val="00E9762B"/>
    <w:rsid w:val="00EA2EE0"/>
    <w:rsid w:val="00EB2C19"/>
    <w:rsid w:val="00EC1B96"/>
    <w:rsid w:val="00EC76CC"/>
    <w:rsid w:val="00EC776D"/>
    <w:rsid w:val="00EF150B"/>
    <w:rsid w:val="00EF2606"/>
    <w:rsid w:val="00F05745"/>
    <w:rsid w:val="00F137B9"/>
    <w:rsid w:val="00F50BAE"/>
    <w:rsid w:val="00F565AB"/>
    <w:rsid w:val="00F711A5"/>
    <w:rsid w:val="00F7244C"/>
    <w:rsid w:val="00F8106F"/>
    <w:rsid w:val="00F92563"/>
    <w:rsid w:val="00F96F2A"/>
    <w:rsid w:val="00FD1A42"/>
    <w:rsid w:val="00FD5E4B"/>
    <w:rsid w:val="00FD71A8"/>
    <w:rsid w:val="00FF13BC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E6A339-2D11-46EF-B5F7-D813CB9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paragraph" w:styleId="ab">
    <w:name w:val="List Paragraph"/>
    <w:basedOn w:val="a"/>
    <w:uiPriority w:val="34"/>
    <w:qFormat/>
    <w:rsid w:val="00B14657"/>
    <w:pPr>
      <w:ind w:left="720"/>
      <w:contextualSpacing/>
    </w:pPr>
  </w:style>
  <w:style w:type="table" w:styleId="ac">
    <w:name w:val="Table Grid"/>
    <w:basedOn w:val="a1"/>
    <w:unhideWhenUsed/>
    <w:locked/>
    <w:rsid w:val="007C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3E17-37B5-4B2C-AEC6-D04AEE07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Біркіна Анна Володимирівна</dc:creator>
  <cp:lastModifiedBy>Семоненко Ольга Миколаївна</cp:lastModifiedBy>
  <cp:revision>6</cp:revision>
  <cp:lastPrinted>2025-08-07T06:26:00Z</cp:lastPrinted>
  <dcterms:created xsi:type="dcterms:W3CDTF">2025-08-07T11:40:00Z</dcterms:created>
  <dcterms:modified xsi:type="dcterms:W3CDTF">2025-08-08T12:10:00Z</dcterms:modified>
</cp:coreProperties>
</file>