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Default="002F439A" w:rsidP="002F439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106A5AB" wp14:editId="070E720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Default="002F439A" w:rsidP="002F439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Pr="0019630D" w:rsidRDefault="00781181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21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лютого 2024 року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3B295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   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м. Київ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3B2958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u w:val="single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Р І Ш Е Н </w:t>
      </w:r>
      <w:proofErr w:type="spellStart"/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</w:t>
      </w:r>
      <w:proofErr w:type="spellEnd"/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Я </w:t>
      </w:r>
      <w:r w:rsidR="003B295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№ </w:t>
      </w:r>
      <w:r w:rsidR="003B2958">
        <w:rPr>
          <w:rFonts w:ascii="Times New Roman" w:eastAsia="Times New Roman" w:hAnsi="Times New Roman"/>
          <w:color w:val="000000"/>
          <w:sz w:val="25"/>
          <w:szCs w:val="25"/>
          <w:u w:val="single"/>
          <w:lang w:eastAsia="uk-UA"/>
        </w:rPr>
        <w:t>208/дс-24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45C72" w:rsidRPr="0019630D" w:rsidRDefault="00245C72" w:rsidP="00245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245C72" w:rsidRPr="0019630D" w:rsidRDefault="00245C72" w:rsidP="00245C72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45C72" w:rsidRPr="0019630D" w:rsidRDefault="00245C72" w:rsidP="00245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головуючого –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Романа ІГНАТОВА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(доповідач),</w:t>
      </w:r>
    </w:p>
    <w:p w:rsidR="00245C72" w:rsidRPr="0019630D" w:rsidRDefault="00245C72" w:rsidP="00245C7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45C72" w:rsidRPr="0019630D" w:rsidRDefault="00245C72" w:rsidP="00245C7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членів Комісії: 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Надії КОБЕЦЬКОЇ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Галини ШЕВЧУК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616B0D" w:rsidP="002F439A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провівши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співбесід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</w:t>
      </w:r>
      <w:r w:rsidR="00AB6CD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з переможцем конкурсу на зайняття вакантн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их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посад судді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місцевих судів, оголошеного рішенням Комісії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від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14 вересня 2023 року № 95/зп-23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A74BA3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Чернявською</w:t>
      </w:r>
      <w:proofErr w:type="spellEnd"/>
      <w:r w:rsidR="00A74BA3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Іриною Геннаді</w:t>
      </w:r>
      <w:r w:rsidR="005448A9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ї</w:t>
      </w:r>
      <w:r w:rsidR="00A74BA3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вною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AA0B23" w:rsidRDefault="00AA0B23" w:rsidP="00245C72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</w:p>
    <w:p w:rsidR="00245C72" w:rsidRPr="0019630D" w:rsidRDefault="00245C72" w:rsidP="00245C72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встановила:</w:t>
      </w:r>
    </w:p>
    <w:p w:rsidR="00245C72" w:rsidRPr="005E0B86" w:rsidRDefault="00245C72" w:rsidP="00245C72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45C72" w:rsidRPr="009F6547" w:rsidRDefault="00AA0B23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proofErr w:type="spellStart"/>
      <w:r w:rsidRPr="00AA0B23">
        <w:rPr>
          <w:rFonts w:ascii="Times New Roman" w:hAnsi="Times New Roman"/>
          <w:sz w:val="25"/>
          <w:szCs w:val="25"/>
        </w:rPr>
        <w:t>Чернявська</w:t>
      </w:r>
      <w:proofErr w:type="spellEnd"/>
      <w:r w:rsidRPr="00AA0B23">
        <w:rPr>
          <w:rFonts w:ascii="Times New Roman" w:hAnsi="Times New Roman"/>
          <w:sz w:val="25"/>
          <w:szCs w:val="25"/>
        </w:rPr>
        <w:t xml:space="preserve"> Ірина Геннадіївна </w:t>
      </w:r>
      <w:r w:rsidR="00B75DEB">
        <w:rPr>
          <w:rFonts w:ascii="Times New Roman" w:hAnsi="Times New Roman"/>
          <w:sz w:val="25"/>
          <w:szCs w:val="25"/>
        </w:rPr>
        <w:t>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245C72" w:rsidRPr="005E0B86">
        <w:rPr>
          <w:rFonts w:ascii="Times New Roman" w:hAnsi="Times New Roman"/>
          <w:sz w:val="25"/>
          <w:szCs w:val="25"/>
        </w:rPr>
        <w:t>року народження</w:t>
      </w:r>
      <w:r w:rsidR="00245C72" w:rsidRPr="005E0B86">
        <w:rPr>
          <w:rFonts w:ascii="Times New Roman" w:eastAsia="Times New Roman" w:hAnsi="Times New Roman"/>
          <w:sz w:val="25"/>
          <w:szCs w:val="25"/>
          <w:lang w:eastAsia="uk-UA"/>
        </w:rPr>
        <w:t>, громадянка</w:t>
      </w:r>
      <w:r w:rsidR="00245C72"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України, відповідно до державного сертифіката володіє державною мовою на рівні вільного володіння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першого</w:t>
      </w:r>
      <w:r w:rsidR="00245C72"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ступеня.</w:t>
      </w:r>
    </w:p>
    <w:p w:rsidR="00245C72" w:rsidRPr="009F6547" w:rsidRDefault="00245C72" w:rsidP="00245C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5E0B86">
        <w:rPr>
          <w:sz w:val="25"/>
          <w:szCs w:val="25"/>
        </w:rPr>
        <w:t xml:space="preserve">Освіта вища, </w:t>
      </w:r>
      <w:r>
        <w:rPr>
          <w:sz w:val="25"/>
          <w:szCs w:val="25"/>
        </w:rPr>
        <w:t xml:space="preserve">у </w:t>
      </w:r>
      <w:r w:rsidRPr="005E0B86">
        <w:rPr>
          <w:sz w:val="25"/>
          <w:szCs w:val="25"/>
        </w:rPr>
        <w:t>200</w:t>
      </w:r>
      <w:r w:rsidR="00EE6E78">
        <w:rPr>
          <w:sz w:val="25"/>
          <w:szCs w:val="25"/>
        </w:rPr>
        <w:t>9</w:t>
      </w:r>
      <w:r w:rsidRPr="005E0B86">
        <w:rPr>
          <w:sz w:val="25"/>
          <w:szCs w:val="25"/>
        </w:rPr>
        <w:t xml:space="preserve"> році закінчила </w:t>
      </w:r>
      <w:r w:rsidR="00EE6E78">
        <w:rPr>
          <w:sz w:val="25"/>
          <w:szCs w:val="25"/>
        </w:rPr>
        <w:t>Національну юридичну академію України імені Ярослава Мудрого</w:t>
      </w:r>
      <w:r w:rsidRPr="005E0B86">
        <w:rPr>
          <w:sz w:val="25"/>
          <w:szCs w:val="25"/>
        </w:rPr>
        <w:t>. Спеціальність</w:t>
      </w:r>
      <w:r w:rsidRPr="00B8318B">
        <w:rPr>
          <w:sz w:val="25"/>
          <w:szCs w:val="25"/>
        </w:rPr>
        <w:t xml:space="preserve"> правознавство.</w:t>
      </w:r>
      <w:r w:rsidRPr="009F6547">
        <w:rPr>
          <w:sz w:val="25"/>
          <w:szCs w:val="25"/>
        </w:rPr>
        <w:t xml:space="preserve"> </w:t>
      </w:r>
    </w:p>
    <w:p w:rsidR="00245C72" w:rsidRPr="009F6547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1</w:t>
      </w:r>
      <w:r w:rsidR="00EE6E78">
        <w:rPr>
          <w:rFonts w:ascii="Times New Roman" w:eastAsia="Times New Roman" w:hAnsi="Times New Roman"/>
          <w:sz w:val="25"/>
          <w:szCs w:val="25"/>
          <w:lang w:eastAsia="uk-UA"/>
        </w:rPr>
        <w:t>4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років.</w:t>
      </w:r>
    </w:p>
    <w:p w:rsidR="00245C72" w:rsidRPr="00D82301" w:rsidRDefault="00245C72" w:rsidP="00245C72">
      <w:pPr>
        <w:pStyle w:val="a6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D82301">
        <w:rPr>
          <w:sz w:val="25"/>
          <w:szCs w:val="25"/>
          <w:lang w:val="uk-UA"/>
        </w:rPr>
        <w:t>Рішенням Вищої кваліфікаційної комісії суддів України від 03 квітня 2017 року №</w:t>
      </w:r>
      <w:r w:rsidRPr="0019630D">
        <w:rPr>
          <w:sz w:val="25"/>
          <w:szCs w:val="25"/>
          <w:lang w:eastAsia="uk-UA"/>
        </w:rPr>
        <w:t> </w:t>
      </w:r>
      <w:r w:rsidRPr="00D82301">
        <w:rPr>
          <w:sz w:val="25"/>
          <w:szCs w:val="25"/>
          <w:lang w:val="uk-UA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245C72" w:rsidRPr="00D82301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о Комісії </w:t>
      </w:r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>16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травня 2017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року звернулася </w:t>
      </w:r>
      <w:proofErr w:type="spellStart"/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>Чернявська</w:t>
      </w:r>
      <w:proofErr w:type="spellEnd"/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 xml:space="preserve"> І.Г.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із заявою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про допуск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ду судді місцевого суду як особа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, яка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має стаж роботи на посаді помічника судді більше трьох років.</w:t>
      </w:r>
    </w:p>
    <w:p w:rsidR="00245C72" w:rsidRPr="00087A92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</w:t>
      </w:r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>27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вересня 2017 року №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>261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/дс-17 допущено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посаду судді місцевого суду та складенні відбіркового іспиту як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осіб,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які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мають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трирічний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стаж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роботи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на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посаді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помічника</w:t>
      </w:r>
      <w:r w:rsidR="00EE6E78"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EE6E78" w:rsidRPr="000A412E">
        <w:rPr>
          <w:rFonts w:ascii="Times New Roman" w:eastAsia="Times New Roman" w:hAnsi="Times New Roman"/>
          <w:sz w:val="25"/>
          <w:szCs w:val="25"/>
          <w:lang w:eastAsia="ru-RU"/>
        </w:rPr>
        <w:t>судді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>зокрема</w:t>
      </w:r>
      <w:r w:rsidRPr="003B2958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proofErr w:type="spellStart"/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>Чернявську</w:t>
      </w:r>
      <w:proofErr w:type="spellEnd"/>
      <w:r w:rsidR="00EE6E78">
        <w:rPr>
          <w:rFonts w:ascii="Times New Roman" w:eastAsia="Times New Roman" w:hAnsi="Times New Roman"/>
          <w:sz w:val="25"/>
          <w:szCs w:val="25"/>
          <w:lang w:eastAsia="ru-RU"/>
        </w:rPr>
        <w:t xml:space="preserve"> І.Г.</w:t>
      </w:r>
    </w:p>
    <w:p w:rsidR="00245C72" w:rsidRPr="005F3BC2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</w:t>
      </w:r>
      <w:r w:rsidR="00AE0275">
        <w:rPr>
          <w:rFonts w:ascii="Times New Roman" w:eastAsia="Times New Roman" w:hAnsi="Times New Roman"/>
          <w:sz w:val="25"/>
          <w:szCs w:val="25"/>
          <w:lang w:eastAsia="ru-RU"/>
        </w:rPr>
        <w:t>13 липня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 2018 року №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="00AE0275">
        <w:rPr>
          <w:rFonts w:ascii="Times New Roman" w:eastAsia="Times New Roman" w:hAnsi="Times New Roman"/>
          <w:sz w:val="25"/>
          <w:szCs w:val="25"/>
          <w:lang w:eastAsia="ru-RU"/>
        </w:rPr>
        <w:t>338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/дс-18 </w:t>
      </w:r>
      <w:proofErr w:type="spellStart"/>
      <w:r w:rsidR="00AE0275">
        <w:rPr>
          <w:rFonts w:ascii="Times New Roman" w:eastAsia="Times New Roman" w:hAnsi="Times New Roman"/>
          <w:sz w:val="25"/>
          <w:szCs w:val="25"/>
          <w:lang w:eastAsia="ru-RU"/>
        </w:rPr>
        <w:t>Чернявську</w:t>
      </w:r>
      <w:proofErr w:type="spellEnd"/>
      <w:r w:rsidR="00AE0275">
        <w:rPr>
          <w:rFonts w:ascii="Times New Roman" w:eastAsia="Times New Roman" w:hAnsi="Times New Roman"/>
          <w:sz w:val="25"/>
          <w:szCs w:val="25"/>
          <w:lang w:eastAsia="ru-RU"/>
        </w:rPr>
        <w:t xml:space="preserve"> І.Г.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 визнано такою, що за результатами спеціальної перевірки відповідає установленим Законом України «Про судоустрій і статус суддів» (далі </w:t>
      </w:r>
      <w:r w:rsidRPr="005F3BC2">
        <w:rPr>
          <w:rFonts w:ascii="Times New Roman" w:hAnsi="Times New Roman"/>
          <w:sz w:val="25"/>
          <w:szCs w:val="25"/>
        </w:rPr>
        <w:t xml:space="preserve">– Закон) 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>вимогам до кандидата на посаду судді.</w:t>
      </w:r>
    </w:p>
    <w:p w:rsidR="00245C72" w:rsidRPr="0019630D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01 серпня 2023 року №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 xml:space="preserve">45/зп-23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продовжено термін дії результатів кваліфікаційного іспиту кандидатів на посаду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 xml:space="preserve">судді 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місцевого загального, адміністративного, господарського судів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245C72" w:rsidRDefault="00245C72" w:rsidP="00245C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19630D">
        <w:rPr>
          <w:sz w:val="25"/>
          <w:szCs w:val="25"/>
          <w:shd w:val="clear" w:color="auto" w:fill="FFFFFF"/>
        </w:rPr>
        <w:t>Рішенням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Вищої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кваліфікаційної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комісії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суддів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України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від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14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вересня</w:t>
      </w:r>
      <w:r w:rsidRPr="003B2958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2023 року №</w:t>
      </w:r>
      <w:r w:rsidRPr="0019630D">
        <w:rPr>
          <w:sz w:val="25"/>
          <w:szCs w:val="25"/>
        </w:rPr>
        <w:t> </w:t>
      </w:r>
      <w:r w:rsidRPr="0019630D">
        <w:rPr>
          <w:sz w:val="25"/>
          <w:szCs w:val="25"/>
          <w:shd w:val="clear" w:color="auto" w:fill="FFFFFF"/>
        </w:rPr>
        <w:t xml:space="preserve">95/зп-23 оголошено конкурс на зайняття 560 вакантних посад суддів у </w:t>
      </w:r>
      <w:r w:rsidRPr="0019630D">
        <w:rPr>
          <w:sz w:val="25"/>
          <w:szCs w:val="25"/>
          <w:shd w:val="clear" w:color="auto" w:fill="FFFFFF"/>
        </w:rPr>
        <w:lastRenderedPageBreak/>
        <w:t xml:space="preserve">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 w:rsidRPr="0019630D">
        <w:rPr>
          <w:color w:val="000000"/>
          <w:sz w:val="25"/>
          <w:szCs w:val="25"/>
        </w:rPr>
        <w:t xml:space="preserve">та документів для участі в </w:t>
      </w:r>
      <w:r>
        <w:rPr>
          <w:color w:val="000000"/>
          <w:sz w:val="25"/>
          <w:szCs w:val="25"/>
        </w:rPr>
        <w:t>цьому к</w:t>
      </w:r>
      <w:r w:rsidRPr="0019630D">
        <w:rPr>
          <w:color w:val="000000"/>
          <w:sz w:val="25"/>
          <w:szCs w:val="25"/>
        </w:rPr>
        <w:t xml:space="preserve">онкурсі, затверджено </w:t>
      </w:r>
      <w:r>
        <w:rPr>
          <w:color w:val="000000"/>
          <w:sz w:val="25"/>
          <w:szCs w:val="25"/>
        </w:rPr>
        <w:t>У</w:t>
      </w:r>
      <w:r w:rsidRPr="0019630D">
        <w:rPr>
          <w:color w:val="000000"/>
          <w:sz w:val="25"/>
          <w:szCs w:val="25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color w:val="000000"/>
          <w:sz w:val="25"/>
          <w:szCs w:val="25"/>
        </w:rPr>
        <w:t>,</w:t>
      </w:r>
      <w:r w:rsidRPr="0019630D">
        <w:rPr>
          <w:color w:val="000000"/>
          <w:sz w:val="25"/>
          <w:szCs w:val="25"/>
        </w:rPr>
        <w:t xml:space="preserve"> та визначено, що питання допуску до участі в </w:t>
      </w:r>
      <w:r>
        <w:rPr>
          <w:color w:val="000000"/>
          <w:sz w:val="25"/>
          <w:szCs w:val="25"/>
        </w:rPr>
        <w:t>к</w:t>
      </w:r>
      <w:r w:rsidRPr="0019630D">
        <w:rPr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45C72" w:rsidRPr="00D82301" w:rsidRDefault="00245C72" w:rsidP="00245C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D82301">
        <w:rPr>
          <w:sz w:val="25"/>
          <w:szCs w:val="25"/>
        </w:rPr>
        <w:t xml:space="preserve">о Комісії </w:t>
      </w:r>
      <w:r w:rsidR="00F2044A">
        <w:rPr>
          <w:sz w:val="25"/>
          <w:szCs w:val="25"/>
        </w:rPr>
        <w:t>16</w:t>
      </w:r>
      <w:r>
        <w:rPr>
          <w:sz w:val="25"/>
          <w:szCs w:val="25"/>
        </w:rPr>
        <w:t xml:space="preserve"> жовтня </w:t>
      </w:r>
      <w:r w:rsidRPr="00D82301">
        <w:rPr>
          <w:sz w:val="25"/>
          <w:szCs w:val="25"/>
        </w:rPr>
        <w:t>2023 року звернулася</w:t>
      </w:r>
      <w:r>
        <w:rPr>
          <w:sz w:val="25"/>
          <w:szCs w:val="25"/>
        </w:rPr>
        <w:t xml:space="preserve"> </w:t>
      </w:r>
      <w:proofErr w:type="spellStart"/>
      <w:r w:rsidR="00F2044A">
        <w:rPr>
          <w:sz w:val="25"/>
          <w:szCs w:val="25"/>
        </w:rPr>
        <w:t>Чернявська</w:t>
      </w:r>
      <w:proofErr w:type="spellEnd"/>
      <w:r w:rsidR="00F2044A">
        <w:rPr>
          <w:sz w:val="25"/>
          <w:szCs w:val="25"/>
        </w:rPr>
        <w:t xml:space="preserve"> І.Г.</w:t>
      </w:r>
      <w:r w:rsidRPr="00D82301">
        <w:rPr>
          <w:sz w:val="25"/>
          <w:szCs w:val="25"/>
        </w:rPr>
        <w:t xml:space="preserve"> </w:t>
      </w:r>
      <w:r>
        <w:rPr>
          <w:sz w:val="25"/>
          <w:szCs w:val="25"/>
        </w:rPr>
        <w:t>і</w:t>
      </w:r>
      <w:r w:rsidRPr="00D82301">
        <w:rPr>
          <w:sz w:val="25"/>
          <w:szCs w:val="25"/>
        </w:rPr>
        <w:t>з заявою щодо допуску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до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участі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в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оголошеному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конкурсі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як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особ</w:t>
      </w:r>
      <w:r>
        <w:rPr>
          <w:sz w:val="25"/>
          <w:szCs w:val="25"/>
        </w:rPr>
        <w:t>а</w:t>
      </w:r>
      <w:r w:rsidRPr="00D82301">
        <w:rPr>
          <w:sz w:val="25"/>
          <w:szCs w:val="25"/>
        </w:rPr>
        <w:t>,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яка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відповідає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>вимогам</w:t>
      </w:r>
      <w:r w:rsidRPr="003B2958">
        <w:rPr>
          <w:sz w:val="56"/>
          <w:szCs w:val="56"/>
        </w:rPr>
        <w:t xml:space="preserve"> </w:t>
      </w:r>
      <w:r w:rsidRPr="00D82301">
        <w:rPr>
          <w:sz w:val="25"/>
          <w:szCs w:val="25"/>
        </w:rPr>
        <w:t xml:space="preserve">статті 69 Закону, перебуває </w:t>
      </w:r>
      <w:r>
        <w:rPr>
          <w:sz w:val="25"/>
          <w:szCs w:val="25"/>
        </w:rPr>
        <w:t>в</w:t>
      </w:r>
      <w:r w:rsidRPr="00D82301">
        <w:rPr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автоматизованого розподілу справ 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заяву </w:t>
      </w:r>
      <w:proofErr w:type="spellStart"/>
      <w:r w:rsidR="00F2044A">
        <w:rPr>
          <w:rFonts w:ascii="Times New Roman" w:hAnsi="Times New Roman"/>
          <w:sz w:val="25"/>
          <w:szCs w:val="25"/>
        </w:rPr>
        <w:t>Чернявської</w:t>
      </w:r>
      <w:proofErr w:type="spellEnd"/>
      <w:r w:rsidR="00F2044A">
        <w:rPr>
          <w:rFonts w:ascii="Times New Roman" w:hAnsi="Times New Roman"/>
          <w:sz w:val="25"/>
          <w:szCs w:val="25"/>
        </w:rPr>
        <w:t xml:space="preserve"> І.Г.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передано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на розгляд члену Комісії Ігнатову Р.М.</w:t>
      </w:r>
    </w:p>
    <w:p w:rsidR="00245C72" w:rsidRPr="00D82301" w:rsidRDefault="00245C72" w:rsidP="00245C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>Рішенням Комісії від 01 грудня 2023 року №</w:t>
      </w:r>
      <w:r w:rsidRPr="0019630D">
        <w:rPr>
          <w:sz w:val="25"/>
          <w:szCs w:val="25"/>
        </w:rPr>
        <w:t> </w:t>
      </w:r>
      <w:r w:rsidRPr="00D82301">
        <w:rPr>
          <w:sz w:val="25"/>
          <w:szCs w:val="25"/>
        </w:rPr>
        <w:t xml:space="preserve">17/дс-23 </w:t>
      </w:r>
      <w:proofErr w:type="spellStart"/>
      <w:r w:rsidR="00F2044A">
        <w:rPr>
          <w:sz w:val="25"/>
          <w:szCs w:val="25"/>
        </w:rPr>
        <w:t>Чернявську</w:t>
      </w:r>
      <w:proofErr w:type="spellEnd"/>
      <w:r w:rsidR="00F2044A">
        <w:rPr>
          <w:sz w:val="25"/>
          <w:szCs w:val="25"/>
        </w:rPr>
        <w:t xml:space="preserve"> І.Г.</w:t>
      </w:r>
      <w:r w:rsidRPr="005F3BC2"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>допущено до участі в оголошеному рішенням Комісії від 14 вересня 2023 року № 95/зп-23 конкурсі на зайняття 560 вакантних посад суддів у місцевих судах</w:t>
      </w:r>
      <w:r>
        <w:rPr>
          <w:sz w:val="25"/>
          <w:szCs w:val="25"/>
        </w:rPr>
        <w:t xml:space="preserve"> для</w:t>
      </w:r>
      <w:r w:rsidRPr="00D82301">
        <w:rPr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245C72" w:rsidRPr="00D82301" w:rsidRDefault="00245C72" w:rsidP="00245C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</w:t>
      </w:r>
      <w:r>
        <w:rPr>
          <w:sz w:val="25"/>
          <w:szCs w:val="25"/>
        </w:rPr>
        <w:t>19</w:t>
      </w:r>
      <w:r w:rsidRPr="00D82301">
        <w:rPr>
          <w:sz w:val="25"/>
          <w:szCs w:val="25"/>
        </w:rPr>
        <w:t xml:space="preserve"> грудня 2023 року №</w:t>
      </w:r>
      <w:r w:rsidRPr="0019630D">
        <w:rPr>
          <w:sz w:val="25"/>
          <w:szCs w:val="25"/>
        </w:rPr>
        <w:t> </w:t>
      </w:r>
      <w:r w:rsidRPr="00D82301">
        <w:rPr>
          <w:sz w:val="25"/>
          <w:szCs w:val="25"/>
        </w:rPr>
        <w:t>155/зп-23</w:t>
      </w:r>
      <w:r w:rsidRPr="00D82301">
        <w:rPr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82301">
        <w:rPr>
          <w:sz w:val="25"/>
          <w:szCs w:val="25"/>
          <w:shd w:val="clear" w:color="auto" w:fill="FFFFFF"/>
        </w:rPr>
        <w:t>вебсайті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 Комісії</w:t>
      </w:r>
      <w:r w:rsidR="00F2044A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рейтинг</w:t>
      </w:r>
      <w:r w:rsidR="00F2044A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учасників конкурсу на посади суддів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місцевих</w:t>
      </w:r>
      <w:r w:rsidRPr="003B2958">
        <w:rPr>
          <w:sz w:val="44"/>
          <w:szCs w:val="44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загальних</w:t>
      </w:r>
      <w:r w:rsidRPr="003B2958">
        <w:rPr>
          <w:sz w:val="44"/>
          <w:szCs w:val="44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судів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межах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конкурсу,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оголошеного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рішенням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Комісії</w:t>
      </w:r>
      <w:r w:rsidRPr="003B2958">
        <w:rPr>
          <w:sz w:val="44"/>
          <w:szCs w:val="44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від 14 вересня 2023 року № 95/зп-23.</w:t>
      </w:r>
      <w:r w:rsidRPr="00D82301">
        <w:rPr>
          <w:sz w:val="25"/>
          <w:szCs w:val="25"/>
        </w:rPr>
        <w:t xml:space="preserve"> Зокрема, визначено рейтинг кандидатів на посаду судді </w:t>
      </w:r>
      <w:proofErr w:type="spellStart"/>
      <w:r w:rsidR="00F2044A">
        <w:rPr>
          <w:sz w:val="25"/>
          <w:szCs w:val="25"/>
        </w:rPr>
        <w:t>Павлоградського</w:t>
      </w:r>
      <w:proofErr w:type="spellEnd"/>
      <w:r w:rsidR="00F2044A">
        <w:rPr>
          <w:sz w:val="25"/>
          <w:szCs w:val="25"/>
        </w:rPr>
        <w:t xml:space="preserve"> </w:t>
      </w:r>
      <w:proofErr w:type="spellStart"/>
      <w:r w:rsidR="00F2044A">
        <w:rPr>
          <w:sz w:val="25"/>
          <w:szCs w:val="25"/>
        </w:rPr>
        <w:t>міськрайонного</w:t>
      </w:r>
      <w:proofErr w:type="spellEnd"/>
      <w:r w:rsidR="00F2044A">
        <w:rPr>
          <w:sz w:val="25"/>
          <w:szCs w:val="25"/>
        </w:rPr>
        <w:t xml:space="preserve"> суду Дніпропетровської області</w:t>
      </w:r>
      <w:r w:rsidRPr="005F3BC2">
        <w:rPr>
          <w:sz w:val="25"/>
          <w:szCs w:val="25"/>
        </w:rPr>
        <w:t xml:space="preserve">, у якому </w:t>
      </w:r>
      <w:proofErr w:type="spellStart"/>
      <w:r w:rsidR="00F2044A">
        <w:rPr>
          <w:sz w:val="25"/>
          <w:szCs w:val="25"/>
        </w:rPr>
        <w:t>Чернявська</w:t>
      </w:r>
      <w:proofErr w:type="spellEnd"/>
      <w:r w:rsidR="00F2044A">
        <w:rPr>
          <w:sz w:val="25"/>
          <w:szCs w:val="25"/>
        </w:rPr>
        <w:t xml:space="preserve"> І.Г.</w:t>
      </w:r>
      <w:r w:rsidRPr="005F3BC2">
        <w:rPr>
          <w:sz w:val="25"/>
          <w:szCs w:val="25"/>
        </w:rPr>
        <w:t xml:space="preserve"> займає переможну позицію.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21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лютого 2024 року проведено співбесіду з</w:t>
      </w:r>
      <w:r w:rsidR="00F2044A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proofErr w:type="spellStart"/>
      <w:r w:rsidR="00F2044A">
        <w:rPr>
          <w:rFonts w:ascii="Times New Roman" w:eastAsia="Times New Roman" w:hAnsi="Times New Roman"/>
          <w:sz w:val="25"/>
          <w:szCs w:val="25"/>
          <w:lang w:eastAsia="uk-UA"/>
        </w:rPr>
        <w:t>Чернявської</w:t>
      </w:r>
      <w:proofErr w:type="spellEnd"/>
      <w:r w:rsidR="00F2044A">
        <w:rPr>
          <w:rFonts w:ascii="Times New Roman" w:eastAsia="Times New Roman" w:hAnsi="Times New Roman"/>
          <w:sz w:val="25"/>
          <w:szCs w:val="25"/>
          <w:lang w:eastAsia="uk-UA"/>
        </w:rPr>
        <w:t xml:space="preserve"> І.Г.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частини третьої статті 127 Конституції України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1" w:name="_heading=h.54qajhbwcim5" w:colFirst="0" w:colLast="0"/>
      <w:bookmarkEnd w:id="1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суддів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місцевих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судів,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оголошений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рішенням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Комісії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від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14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вересня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2023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року</w:t>
      </w:r>
      <w:r w:rsidRPr="003B2958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актів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України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щодо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удосконалення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процедур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суддівської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кар’єри»</w:t>
      </w:r>
      <w:r w:rsidRPr="003B2958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від 09 грудня 2023 року № 3511-IX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2" w:name="_heading=h.gjdgxs" w:colFirst="0" w:colLast="0"/>
      <w:bookmarkEnd w:id="2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Частиною першою статті 69 Закону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245C72" w:rsidRPr="00D82301" w:rsidRDefault="00245C72" w:rsidP="00245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3" w:name="_heading=h.jnwlx07kcz2z" w:colFirst="0" w:colLast="0"/>
      <w:bookmarkEnd w:id="3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Частинами першою та другою статті 79-5 Закону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передбачено, що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79-5 Закону)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lastRenderedPageBreak/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Вища кваліфікаційна комісія суддів України є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Виходячи із завдань Комісії,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вимогам, з </w:t>
      </w:r>
      <w:r w:rsidRPr="00D82301">
        <w:rPr>
          <w:rFonts w:ascii="Times New Roman" w:hAnsi="Times New Roman"/>
          <w:sz w:val="25"/>
          <w:szCs w:val="25"/>
        </w:rPr>
        <w:t xml:space="preserve">–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поміж яких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є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критері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доброчесності і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245C72" w:rsidRPr="00D82301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3B2958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кументу про підтвердження рівня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245C72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не отримано інформації про кандидата, яка б породжувала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EB65D2" w:rsidRPr="00D82301" w:rsidRDefault="005448A9" w:rsidP="00EB65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>Водночас</w:t>
      </w:r>
      <w:r w:rsidR="00EB65D2">
        <w:rPr>
          <w:rFonts w:ascii="Times New Roman" w:eastAsia="Times New Roman" w:hAnsi="Times New Roman"/>
          <w:sz w:val="25"/>
          <w:szCs w:val="25"/>
          <w:lang w:eastAsia="uk-UA"/>
        </w:rPr>
        <w:t xml:space="preserve"> Комісія констатує </w:t>
      </w:r>
      <w:r w:rsidR="006D6ADA">
        <w:rPr>
          <w:rFonts w:ascii="Times New Roman" w:eastAsia="Times New Roman" w:hAnsi="Times New Roman"/>
          <w:sz w:val="25"/>
          <w:szCs w:val="25"/>
          <w:lang w:eastAsia="uk-UA"/>
        </w:rPr>
        <w:t>несумлінне дотримання</w:t>
      </w:r>
      <w:r w:rsidR="00EB65D2">
        <w:rPr>
          <w:rFonts w:ascii="Times New Roman" w:eastAsia="Times New Roman" w:hAnsi="Times New Roman"/>
          <w:sz w:val="25"/>
          <w:szCs w:val="25"/>
          <w:lang w:eastAsia="uk-UA"/>
        </w:rPr>
        <w:t xml:space="preserve"> кандидатом вимог декларування, що зумовило помилки в деклараціях кандидата на посаду судді, однак ця обставина не є достатньою для ухвалення рішення про відмову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в</w:t>
      </w:r>
      <w:r w:rsidR="00EB65D2">
        <w:rPr>
          <w:rFonts w:ascii="Times New Roman" w:eastAsia="Times New Roman" w:hAnsi="Times New Roman"/>
          <w:sz w:val="25"/>
          <w:szCs w:val="25"/>
          <w:lang w:eastAsia="uk-UA"/>
        </w:rPr>
        <w:t xml:space="preserve"> наданні рекомендації про призначення кандидата на посаду судді.</w:t>
      </w:r>
    </w:p>
    <w:p w:rsidR="00245C72" w:rsidRPr="00D82301" w:rsidRDefault="00245C72" w:rsidP="00245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Отже, за результатами проведеної з </w:t>
      </w:r>
      <w:proofErr w:type="spellStart"/>
      <w:r w:rsidR="005448A9">
        <w:rPr>
          <w:rFonts w:ascii="Times New Roman" w:hAnsi="Times New Roman"/>
          <w:sz w:val="25"/>
          <w:szCs w:val="25"/>
        </w:rPr>
        <w:t>Черня</w:t>
      </w:r>
      <w:r w:rsidR="00595CBE">
        <w:rPr>
          <w:rFonts w:ascii="Times New Roman" w:hAnsi="Times New Roman"/>
          <w:sz w:val="25"/>
          <w:szCs w:val="25"/>
        </w:rPr>
        <w:t>вською</w:t>
      </w:r>
      <w:proofErr w:type="spellEnd"/>
      <w:r w:rsidR="00595CBE">
        <w:rPr>
          <w:rFonts w:ascii="Times New Roman" w:hAnsi="Times New Roman"/>
          <w:sz w:val="25"/>
          <w:szCs w:val="25"/>
        </w:rPr>
        <w:t xml:space="preserve"> І.Г.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співбесіди Комісія дійшла висновку про її відповідність вимогам до кандидата, передбаченим Конституцією </w:t>
      </w:r>
      <w:r w:rsidRPr="006B0A99">
        <w:rPr>
          <w:rFonts w:ascii="Times New Roman" w:eastAsia="Times New Roman" w:hAnsi="Times New Roman"/>
          <w:sz w:val="25"/>
          <w:szCs w:val="25"/>
          <w:lang w:eastAsia="uk-UA"/>
        </w:rPr>
        <w:t xml:space="preserve">України та Законом, що є підставою для ухвалення рішення про внесення </w:t>
      </w:r>
      <w:r w:rsidRPr="006B0A99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рекомендації про призначення кандидата на посаду </w:t>
      </w:r>
      <w:r w:rsidRPr="00595CBE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судді </w:t>
      </w:r>
      <w:proofErr w:type="spellStart"/>
      <w:r w:rsidR="00595CBE" w:rsidRPr="00595CBE">
        <w:rPr>
          <w:rFonts w:ascii="Times New Roman" w:hAnsi="Times New Roman"/>
          <w:sz w:val="25"/>
          <w:szCs w:val="25"/>
        </w:rPr>
        <w:t>Павлоградського</w:t>
      </w:r>
      <w:proofErr w:type="spellEnd"/>
      <w:r w:rsidR="00595CBE" w:rsidRPr="00595CB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595CBE" w:rsidRPr="00595CBE">
        <w:rPr>
          <w:rFonts w:ascii="Times New Roman" w:hAnsi="Times New Roman"/>
          <w:sz w:val="25"/>
          <w:szCs w:val="25"/>
        </w:rPr>
        <w:t>міськрайонного</w:t>
      </w:r>
      <w:proofErr w:type="spellEnd"/>
      <w:r w:rsidR="00595CBE" w:rsidRPr="00595CBE">
        <w:rPr>
          <w:rFonts w:ascii="Times New Roman" w:hAnsi="Times New Roman"/>
          <w:sz w:val="25"/>
          <w:szCs w:val="25"/>
        </w:rPr>
        <w:t xml:space="preserve"> суду Дніпропетровської області</w:t>
      </w:r>
      <w:r w:rsidRPr="00595CBE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.</w:t>
      </w:r>
    </w:p>
    <w:p w:rsidR="00245C72" w:rsidRPr="00D82301" w:rsidRDefault="00245C72" w:rsidP="00245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двома голосами «ЗА», одним «ПРОТИ»</w:t>
      </w:r>
    </w:p>
    <w:p w:rsidR="00245C72" w:rsidRPr="0019630D" w:rsidRDefault="00245C72" w:rsidP="00245C72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вирішила: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рекоменд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увати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призначити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A74BA3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Чернявську</w:t>
      </w:r>
      <w:proofErr w:type="spellEnd"/>
      <w:r w:rsidR="00A74BA3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Ірину Геннадіївну</w:t>
      </w:r>
      <w:r w:rsidR="00781181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на посаду судді </w:t>
      </w:r>
      <w:proofErr w:type="spellStart"/>
      <w:r w:rsidR="00A74BA3">
        <w:rPr>
          <w:rFonts w:ascii="Times New Roman" w:hAnsi="Times New Roman"/>
          <w:sz w:val="25"/>
          <w:szCs w:val="25"/>
        </w:rPr>
        <w:t>Павлоградського</w:t>
      </w:r>
      <w:proofErr w:type="spellEnd"/>
      <w:r w:rsidR="00A74BA3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74BA3">
        <w:rPr>
          <w:rFonts w:ascii="Times New Roman" w:hAnsi="Times New Roman"/>
          <w:sz w:val="25"/>
          <w:szCs w:val="25"/>
        </w:rPr>
        <w:t>міськрайонного</w:t>
      </w:r>
      <w:proofErr w:type="spellEnd"/>
      <w:r w:rsidR="00A74BA3">
        <w:rPr>
          <w:rFonts w:ascii="Times New Roman" w:hAnsi="Times New Roman"/>
          <w:sz w:val="25"/>
          <w:szCs w:val="25"/>
        </w:rPr>
        <w:t xml:space="preserve"> суду Дніпропетровської області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.</w:t>
      </w:r>
    </w:p>
    <w:p w:rsidR="00E35580" w:rsidRPr="0019630D" w:rsidRDefault="00E35580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7D0F45" w:rsidRPr="00655063" w:rsidRDefault="007D0F45" w:rsidP="007D0F4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 Роман ІГНАТОВ («ЗА»)</w:t>
      </w:r>
    </w:p>
    <w:p w:rsidR="007D0F45" w:rsidRDefault="007D0F45" w:rsidP="007D0F4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Члени Ком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ісії:</w:t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 Надія КОБЕЦЬКА («ПРОТИ»)</w:t>
      </w:r>
    </w:p>
    <w:p w:rsidR="007D0F45" w:rsidRPr="00655063" w:rsidRDefault="003B2958" w:rsidP="007D0F4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 </w:t>
      </w:r>
      <w:r w:rsidR="007D0F45">
        <w:rPr>
          <w:rFonts w:ascii="Times New Roman" w:eastAsia="Times New Roman" w:hAnsi="Times New Roman"/>
          <w:sz w:val="25"/>
          <w:szCs w:val="25"/>
          <w:lang w:eastAsia="uk-UA"/>
        </w:rPr>
        <w:t>Галина ШЕВЧУК («ЗА»)</w:t>
      </w:r>
    </w:p>
    <w:sectPr w:rsidR="007D0F45" w:rsidRPr="00655063" w:rsidSect="005448A9">
      <w:headerReference w:type="default" r:id="rId8"/>
      <w:pgSz w:w="11906" w:h="16838"/>
      <w:pgMar w:top="1134" w:right="85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97" w:rsidRDefault="00A57297" w:rsidP="00716645">
      <w:pPr>
        <w:spacing w:after="0" w:line="240" w:lineRule="auto"/>
      </w:pPr>
      <w:r>
        <w:separator/>
      </w:r>
    </w:p>
  </w:endnote>
  <w:endnote w:type="continuationSeparator" w:id="0">
    <w:p w:rsidR="00A57297" w:rsidRDefault="00A57297" w:rsidP="007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97" w:rsidRDefault="00A57297" w:rsidP="00716645">
      <w:pPr>
        <w:spacing w:after="0" w:line="240" w:lineRule="auto"/>
      </w:pPr>
      <w:r>
        <w:separator/>
      </w:r>
    </w:p>
  </w:footnote>
  <w:footnote w:type="continuationSeparator" w:id="0">
    <w:p w:rsidR="00A57297" w:rsidRDefault="00A57297" w:rsidP="0071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270320"/>
      <w:docPartObj>
        <w:docPartGallery w:val="Page Numbers (Top of Page)"/>
        <w:docPartUnique/>
      </w:docPartObj>
    </w:sdtPr>
    <w:sdtEndPr/>
    <w:sdtContent>
      <w:p w:rsidR="00716645" w:rsidRDefault="007166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DEB" w:rsidRPr="00B75DEB">
          <w:rPr>
            <w:noProof/>
            <w:lang w:val="ru-RU"/>
          </w:rPr>
          <w:t>3</w:t>
        </w:r>
        <w:r>
          <w:fldChar w:fldCharType="end"/>
        </w:r>
      </w:p>
    </w:sdtContent>
  </w:sdt>
  <w:p w:rsidR="00716645" w:rsidRDefault="007166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9E"/>
    <w:rsid w:val="000040B5"/>
    <w:rsid w:val="00056C2A"/>
    <w:rsid w:val="0006269E"/>
    <w:rsid w:val="000D4174"/>
    <w:rsid w:val="000E766E"/>
    <w:rsid w:val="00130DF3"/>
    <w:rsid w:val="00145F3C"/>
    <w:rsid w:val="0019630D"/>
    <w:rsid w:val="002004E8"/>
    <w:rsid w:val="00245C72"/>
    <w:rsid w:val="00285B17"/>
    <w:rsid w:val="002F439A"/>
    <w:rsid w:val="003956D1"/>
    <w:rsid w:val="003B2958"/>
    <w:rsid w:val="003B3D03"/>
    <w:rsid w:val="00425B7D"/>
    <w:rsid w:val="0048434A"/>
    <w:rsid w:val="004E47DD"/>
    <w:rsid w:val="004E52A6"/>
    <w:rsid w:val="00521737"/>
    <w:rsid w:val="00521D4D"/>
    <w:rsid w:val="005448A9"/>
    <w:rsid w:val="00595CBE"/>
    <w:rsid w:val="005F43E3"/>
    <w:rsid w:val="00607A8C"/>
    <w:rsid w:val="00611145"/>
    <w:rsid w:val="00616B0D"/>
    <w:rsid w:val="00654466"/>
    <w:rsid w:val="00655063"/>
    <w:rsid w:val="006D6ADA"/>
    <w:rsid w:val="00702348"/>
    <w:rsid w:val="00716645"/>
    <w:rsid w:val="00781181"/>
    <w:rsid w:val="007C090F"/>
    <w:rsid w:val="007D0F45"/>
    <w:rsid w:val="0084375C"/>
    <w:rsid w:val="00855E38"/>
    <w:rsid w:val="0089024B"/>
    <w:rsid w:val="008A676E"/>
    <w:rsid w:val="0093727F"/>
    <w:rsid w:val="009554A4"/>
    <w:rsid w:val="00993036"/>
    <w:rsid w:val="009D4DFD"/>
    <w:rsid w:val="009F6547"/>
    <w:rsid w:val="00A17CB1"/>
    <w:rsid w:val="00A57297"/>
    <w:rsid w:val="00A74BA3"/>
    <w:rsid w:val="00AA0B23"/>
    <w:rsid w:val="00AB6CD8"/>
    <w:rsid w:val="00AB7370"/>
    <w:rsid w:val="00AE0275"/>
    <w:rsid w:val="00B75DEB"/>
    <w:rsid w:val="00B8025F"/>
    <w:rsid w:val="00BB0CCE"/>
    <w:rsid w:val="00BB335D"/>
    <w:rsid w:val="00BB46E7"/>
    <w:rsid w:val="00BB5538"/>
    <w:rsid w:val="00C14E61"/>
    <w:rsid w:val="00D0322B"/>
    <w:rsid w:val="00D4662F"/>
    <w:rsid w:val="00D82301"/>
    <w:rsid w:val="00D9087A"/>
    <w:rsid w:val="00DA6A7A"/>
    <w:rsid w:val="00E033A0"/>
    <w:rsid w:val="00E3303B"/>
    <w:rsid w:val="00E35580"/>
    <w:rsid w:val="00E8169E"/>
    <w:rsid w:val="00EB1DD1"/>
    <w:rsid w:val="00EB65D2"/>
    <w:rsid w:val="00EE6E78"/>
    <w:rsid w:val="00F2044A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5607</Words>
  <Characters>3197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2024-03-13T07:58:00Z</cp:lastPrinted>
  <dcterms:created xsi:type="dcterms:W3CDTF">2024-03-27T11:57:00Z</dcterms:created>
  <dcterms:modified xsi:type="dcterms:W3CDTF">2024-03-27T11:58:00Z</dcterms:modified>
</cp:coreProperties>
</file>