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68F85" w14:textId="77777777" w:rsidR="00CB6731" w:rsidRPr="00CB6731" w:rsidRDefault="00CB6731" w:rsidP="00CB6731">
      <w:pPr>
        <w:suppressAutoHyphens/>
        <w:spacing w:after="0" w:line="240" w:lineRule="auto"/>
        <w:ind w:left="4517" w:right="42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47F57CE7" wp14:editId="2FC57898">
            <wp:extent cx="541020" cy="716280"/>
            <wp:effectExtent l="0" t="0" r="0" b="762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CC5B8" w14:textId="77777777" w:rsidR="00CB6731" w:rsidRPr="00CB6731" w:rsidRDefault="00CB6731" w:rsidP="00CB67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8BA0CF7" w14:textId="77777777" w:rsidR="00CB6731" w:rsidRPr="00CB6731" w:rsidRDefault="00CB6731" w:rsidP="00CB6731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B6731">
        <w:rPr>
          <w:rFonts w:ascii="Times New Roman" w:eastAsia="Times New Roman" w:hAnsi="Times New Roman" w:cs="Times New Roman"/>
          <w:sz w:val="36"/>
          <w:szCs w:val="36"/>
          <w:lang w:eastAsia="ar-SA"/>
        </w:rPr>
        <w:t>ВИЩА КВАЛІФІКАЦІЙНА КОМІСІЯ СУДДІВ УКРАЇНИ</w:t>
      </w:r>
    </w:p>
    <w:p w14:paraId="449059DD" w14:textId="77777777" w:rsidR="00CB6731" w:rsidRPr="00CB6731" w:rsidRDefault="00CB6731" w:rsidP="00CB6731">
      <w:pPr>
        <w:suppressAutoHyphens/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70D44FF8" w14:textId="11008BF4" w:rsidR="00CB6731" w:rsidRPr="00CB6731" w:rsidRDefault="006B6561" w:rsidP="00CB673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липня </w:t>
      </w:r>
      <w:r w:rsidR="00CB6731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2024 року                                                                                         </w:t>
      </w:r>
      <w:r w:rsidR="008C14C7" w:rsidRPr="004562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B6731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 Київ</w:t>
      </w:r>
    </w:p>
    <w:p w14:paraId="1C0CD163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32C972D8" w14:textId="6D7BC720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 І Ш Е Н </w:t>
      </w:r>
      <w:proofErr w:type="spellStart"/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</w:t>
      </w:r>
      <w:proofErr w:type="spellEnd"/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Я   № </w:t>
      </w:r>
      <w:r w:rsidR="00456294" w:rsidRPr="00456294">
        <w:rPr>
          <w:rFonts w:ascii="Times New Roman" w:hAnsi="Times New Roman" w:cs="Times New Roman"/>
          <w:sz w:val="28"/>
          <w:szCs w:val="28"/>
          <w:u w:val="single"/>
        </w:rPr>
        <w:t>21</w:t>
      </w:r>
      <w:r w:rsidR="0045629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56294" w:rsidRPr="00456294">
        <w:rPr>
          <w:rFonts w:ascii="Times New Roman" w:hAnsi="Times New Roman" w:cs="Times New Roman"/>
          <w:sz w:val="28"/>
          <w:szCs w:val="28"/>
          <w:u w:val="single"/>
        </w:rPr>
        <w:t>/зп-24</w:t>
      </w:r>
    </w:p>
    <w:p w14:paraId="7547A4ED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134"/>
        <w:rPr>
          <w:rFonts w:ascii="Times New Roman" w:eastAsia="Times New Roman" w:hAnsi="Times New Roman" w:cs="Times New Roman"/>
          <w:bCs/>
          <w:sz w:val="32"/>
          <w:szCs w:val="28"/>
          <w:lang w:eastAsia="ar-SA"/>
        </w:rPr>
      </w:pPr>
    </w:p>
    <w:p w14:paraId="588F1DD8" w14:textId="77777777" w:rsidR="00CB6731" w:rsidRPr="00CB6731" w:rsidRDefault="00CB6731" w:rsidP="00CB6731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Вища кваліфікаційна комісія суддів України у пленарному складі:</w:t>
      </w:r>
    </w:p>
    <w:p w14:paraId="0578CA27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05EFF61D" w14:textId="79F930F0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головуючого –</w:t>
      </w:r>
      <w:r w:rsid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Hlk170293689"/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Руслана СИДОРОВИЧ</w:t>
      </w:r>
      <w:bookmarkEnd w:id="0"/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61C175FF" w14:textId="77777777" w:rsidR="00CB6731" w:rsidRPr="00CB6731" w:rsidRDefault="00CB6731" w:rsidP="00CB6731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55D8B212" w14:textId="7F118E94" w:rsidR="00CB6731" w:rsidRPr="00CB6731" w:rsidRDefault="00CB6731" w:rsidP="00CB6731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членів Комісії: </w:t>
      </w:r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Михайла БОГОНОСА</w:t>
      </w:r>
      <w:r w:rsidR="008C14C7" w:rsidRPr="004562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(</w:t>
      </w:r>
      <w:r w:rsidR="008C14C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доповідач</w:t>
      </w:r>
      <w:r w:rsidR="008C14C7" w:rsidRPr="004562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)</w:t>
      </w:r>
      <w:r w:rsid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A1FD4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Віталія ГАЦЕЛЮКА, Романа </w:t>
      </w:r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КИДИСЮКА, Надії КОБЕЦЬКОЇ, </w:t>
      </w:r>
      <w:r w:rsid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Володимира ЛУГАНСЬКОГО, </w:t>
      </w:r>
      <w:r w:rsidR="009A1FD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Руслана МЕЛЬНИКА</w:t>
      </w:r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, Андрія ПАСІЧНИКА,</w:t>
      </w:r>
      <w:r w:rsid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Галини </w:t>
      </w:r>
      <w:r w:rsidR="0017753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ШЕВЧУК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14:paraId="75342EBC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6DF1C619" w14:textId="14639636" w:rsidR="00CB6731" w:rsidRPr="00CB6731" w:rsidRDefault="00CB6731" w:rsidP="00CB6731">
      <w:pPr>
        <w:shd w:val="clear" w:color="auto" w:fill="FFFFFF"/>
        <w:tabs>
          <w:tab w:val="left" w:pos="73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розглянувши питання про </w:t>
      </w:r>
      <w:bookmarkStart w:id="1" w:name="_Hlk169858077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внесення змін </w:t>
      </w:r>
      <w:bookmarkStart w:id="2" w:name="_Hlk169860433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пункту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85,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підпункту 110.6 </w:t>
      </w:r>
      <w:r w:rsidR="00EF70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пункту 110 та пункту 113 </w:t>
      </w:r>
      <w:bookmarkStart w:id="3" w:name="_Hlk169860177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параграф</w:t>
      </w:r>
      <w:r w:rsidR="00731A0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8 розділу І Регламенту </w:t>
      </w:r>
      <w:bookmarkEnd w:id="2"/>
      <w:bookmarkEnd w:id="3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Вищої кваліфікаційної комісії суддів України, затвердженого рішенням Вищої кваліфікаційної комісії суддів України від 13.10.2016 №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81/зп-16 </w:t>
      </w:r>
      <w:bookmarkEnd w:id="1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(у редакції рішення Вищої кваліфікаційної комісії суддів України від 19.10.2023 </w:t>
      </w:r>
      <w:r w:rsidR="00EF704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№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119/зп-23, зі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змінами),</w:t>
      </w:r>
    </w:p>
    <w:p w14:paraId="6F49AB2F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-104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78391EE2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встановила:</w:t>
      </w:r>
    </w:p>
    <w:p w14:paraId="4262CB33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14:paraId="631A2A2F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Відповідно до частини першої статті 92 Закону України «Про судоустрій і статус суддів» (далі – Закон) 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14:paraId="7DD131ED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Частиною першою статті 98 Закону передбачено, що організаційними формами діяльності Вищої кваліфікаційної комісії суддів України є засідання у пленарному складі Комісії, у складі її палат та колегій залежно від питань, визначених Законом та Регламентом Вищої кваліфікаційної комісії суддів України.</w:t>
      </w:r>
    </w:p>
    <w:p w14:paraId="5D753DAB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Рішенням Комісії від 19.10.2023 № 119/зп-23 Регламент Вищої кваліфікаційної комісії суддів України (далі – Регламент), затверджений рішенням Комісії від 13.10.2016 № 81/зп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noBreakHyphen/>
        <w:t>16, викладено в новій редакції.</w:t>
      </w:r>
    </w:p>
    <w:p w14:paraId="75CBAA9A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Надалі рішеннями Комісії від 30.11.2023 № 150/зп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noBreakHyphen/>
        <w:t xml:space="preserve">23, </w:t>
      </w:r>
      <w:bookmarkStart w:id="4" w:name="_Hlk169859939"/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 11.01.2024 № 4/зп-24</w:t>
      </w:r>
      <w:bookmarkEnd w:id="4"/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, від 12.02.2024 № 58/зп-24 та від 01.05.2024 №</w:t>
      </w:r>
      <w:r w:rsidRPr="00CB67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112/зп-24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до Регламенту внесено зміни.</w:t>
      </w:r>
    </w:p>
    <w:p w14:paraId="215CBBDA" w14:textId="412A89C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Рішенням Комісії від 11.01.2024 № 4/зп-24 внесено зміни до Регламенту, зокрема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D2369F" w:rsidRP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слова 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«Порядок денний» було замінено </w:t>
      </w:r>
      <w:r w:rsidR="00D2369F" w:rsidRP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словами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«Перелік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питань».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Проте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5" w:name="_Hlk170222610"/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пункт 85 та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пі</w:t>
      </w:r>
      <w:proofErr w:type="spellStart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дпункт</w:t>
      </w:r>
      <w:proofErr w:type="spellEnd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110.6 пункту 110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Start w:id="6" w:name="_Hlk170112130"/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параграфа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8 розділу І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Регламенту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bookmarkEnd w:id="5"/>
      <w:bookmarkEnd w:id="6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зміни внесено не було.</w:t>
      </w:r>
    </w:p>
    <w:p w14:paraId="7D9F4EDE" w14:textId="4CE6009C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Отже, з метою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узгодження положень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Регламенту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виникає необхідність внесення змін до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пункту 85 та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підпункт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110.6 пункту 110 </w:t>
      </w:r>
      <w:bookmarkStart w:id="7" w:name="_Hlk170222789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параграф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8 розділу І Регламенту</w:t>
      </w:r>
      <w:bookmarkEnd w:id="7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3A18F16" w14:textId="09474510" w:rsid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пункту 109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параграф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8 розділу І Регламенту</w:t>
      </w:r>
      <w:r w:rsidRPr="00CB673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ar-SA"/>
        </w:rPr>
        <w:t xml:space="preserve">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фіксування ходу засідання </w:t>
      </w:r>
      <w:proofErr w:type="spellStart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здійснюється</w:t>
      </w:r>
      <w:proofErr w:type="spellEnd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шляхом ведення протоколу за допомогою системи технічної фіксації та протоколювання судового процесу з використанням технічних засобів та/або програмного засобу.</w:t>
      </w:r>
    </w:p>
    <w:p w14:paraId="2F3C1328" w14:textId="6D5C9927" w:rsidR="0099093A" w:rsidRPr="00CB6731" w:rsidRDefault="0099093A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>113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параграфа </w:t>
      </w:r>
      <w:r w:rsidRP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 розділу І Регламенту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итяг із протоколу </w:t>
      </w:r>
      <w:r w:rsidRP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засідання, копія технічної̈ фіксації̈ засідання (у разі їх складання) надаються за запитом члена Комісії, державних органів, уповноважених розглядати питання щодо оскарження рішень Комісії̈.</w:t>
      </w:r>
      <w:r w:rsidRP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Витяг із протоколу засідання засвідчується Головою Комісії̈ або заступником Голови Комісії̈ чи секретарями палат або головуючим у засіданні Колегії в межах повноважень.</w:t>
      </w:r>
    </w:p>
    <w:p w14:paraId="6AF043CC" w14:textId="238CF8C2" w:rsidR="0099093A" w:rsidRPr="00AD0F2D" w:rsidRDefault="00D2369F" w:rsidP="00AD0F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Своєю чергою</w:t>
      </w:r>
      <w:r w:rsidR="0099093A" w:rsidRPr="00AD0F2D">
        <w:rPr>
          <w:sz w:val="28"/>
          <w:szCs w:val="28"/>
          <w:lang w:eastAsia="ar-SA"/>
        </w:rPr>
        <w:t xml:space="preserve"> пункт</w:t>
      </w:r>
      <w:r>
        <w:rPr>
          <w:sz w:val="28"/>
          <w:szCs w:val="28"/>
          <w:lang w:eastAsia="ar-SA"/>
        </w:rPr>
        <w:t>ом</w:t>
      </w:r>
      <w:r w:rsidR="0099093A" w:rsidRPr="00AD0F2D">
        <w:rPr>
          <w:sz w:val="28"/>
          <w:szCs w:val="28"/>
          <w:lang w:eastAsia="ar-SA"/>
        </w:rPr>
        <w:t xml:space="preserve"> 1 частини </w:t>
      </w:r>
      <w:r>
        <w:rPr>
          <w:sz w:val="28"/>
          <w:szCs w:val="28"/>
          <w:lang w:eastAsia="ar-SA"/>
        </w:rPr>
        <w:t>першої</w:t>
      </w:r>
      <w:r w:rsidR="0099093A" w:rsidRPr="00AD0F2D">
        <w:rPr>
          <w:sz w:val="28"/>
          <w:szCs w:val="28"/>
          <w:lang w:eastAsia="ar-SA"/>
        </w:rPr>
        <w:t xml:space="preserve"> статті 20 Закону України «</w:t>
      </w:r>
      <w:r w:rsidR="0099093A" w:rsidRPr="00AD0F2D">
        <w:rPr>
          <w:bCs/>
          <w:sz w:val="28"/>
          <w:szCs w:val="28"/>
        </w:rPr>
        <w:t>Про адвокатуру та адвокатську діяльність»</w:t>
      </w:r>
      <w:r w:rsidR="0099093A" w:rsidRPr="00AD0F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встановлено, що </w:t>
      </w:r>
      <w:r w:rsidR="0099093A" w:rsidRPr="00AD0F2D">
        <w:rPr>
          <w:sz w:val="28"/>
          <w:szCs w:val="28"/>
        </w:rPr>
        <w:t>під час здійснення адвокатської діяльності адвокат має право вчиняти будь-які дії, не заборонені законом, </w:t>
      </w:r>
      <w:hyperlink r:id="rId8" w:anchor="n4" w:tgtFrame="_blank" w:history="1">
        <w:r w:rsidR="0099093A" w:rsidRPr="00AD0F2D">
          <w:rPr>
            <w:rStyle w:val="a7"/>
            <w:color w:val="auto"/>
            <w:sz w:val="28"/>
            <w:szCs w:val="28"/>
            <w:u w:val="none"/>
          </w:rPr>
          <w:t>правилами адвокатської етики</w:t>
        </w:r>
      </w:hyperlink>
      <w:r w:rsidR="0099093A" w:rsidRPr="00AD0F2D">
        <w:rPr>
          <w:sz w:val="28"/>
          <w:szCs w:val="28"/>
        </w:rPr>
        <w:t> та договором про надання правничої допомоги, необхідні для належного виконання договору про надання правничої допомоги, зокрема</w:t>
      </w:r>
      <w:bookmarkStart w:id="8" w:name="n148"/>
      <w:bookmarkEnd w:id="8"/>
      <w:r w:rsidR="00AD0F2D" w:rsidRPr="00AD0F2D">
        <w:rPr>
          <w:sz w:val="28"/>
          <w:szCs w:val="28"/>
        </w:rPr>
        <w:t xml:space="preserve"> </w:t>
      </w:r>
      <w:r w:rsidR="0099093A" w:rsidRPr="00AD0F2D">
        <w:rPr>
          <w:sz w:val="28"/>
          <w:szCs w:val="28"/>
        </w:rPr>
        <w:t>звертатися з адвокатськими запитами, у тому числі щодо отримання копій документів, до органів державної влади, органів місцевого самоврядування, їх посадових і службових осіб, підприємств, установ, організацій, громадських об’єднань, а також до фізичних осіб (за згодою таких фізичних осіб)</w:t>
      </w:r>
      <w:r w:rsidR="00AD0F2D" w:rsidRPr="00AD0F2D">
        <w:rPr>
          <w:sz w:val="28"/>
          <w:szCs w:val="28"/>
        </w:rPr>
        <w:t>.</w:t>
      </w:r>
    </w:p>
    <w:p w14:paraId="186E35E9" w14:textId="78D920AC" w:rsidR="0099093A" w:rsidRPr="00AD0F2D" w:rsidRDefault="00AD0F2D" w:rsidP="00AD0F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Частиною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другою</w:t>
      </w: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статті 24 вказаного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акону передбачено, що органи державної влади, орган місцевого самоврядування, їх посадові та службові особи, керівники підприємств, установ, організацій, громадських об’єднань, яки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 направлено адвокатський запит, </w:t>
      </w: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зобов’язані розглянути запит та надати інформацію, копії документів, крім інформації з обмеженим доступом і копій документів, в яких міститься інформація з обмеженим доступом.</w:t>
      </w:r>
    </w:p>
    <w:p w14:paraId="47FB2352" w14:textId="6A51DE5C" w:rsidR="00CB6731" w:rsidRPr="00AD0F2D" w:rsidRDefault="0099093A" w:rsidP="00AD0F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CB6731"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ідповідно до абзацу другого частини другої статті 11 Закону України «Про інформацію» кожному забезпечується вільний доступ до інформації, яка стосується його особисто, крім випадків, передбачених законом.</w:t>
      </w:r>
    </w:p>
    <w:p w14:paraId="0886E2F3" w14:textId="03BBA4A2" w:rsidR="00CB6731" w:rsidRPr="00CB6731" w:rsidRDefault="0099093A" w:rsidP="00AD0F2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ar-SA"/>
        </w:rPr>
      </w:pPr>
      <w:r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 </w:t>
      </w:r>
      <w:r w:rsidR="00CB6731"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ом</w:t>
      </w:r>
      <w:r w:rsidR="00CB6731" w:rsidRP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B6731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 частини третьої статті 10 Закону України «Про доступ до публічної інформації»</w:t>
      </w:r>
      <w:r w:rsidR="00CB6731" w:rsidRPr="00CB67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ar-SA"/>
        </w:rPr>
        <w:t xml:space="preserve"> </w:t>
      </w:r>
      <w:r w:rsidR="00CB6731" w:rsidRPr="00CB6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розпорядники інформації, які володію</w:t>
      </w:r>
      <w:r w:rsidR="00D236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ть інформацією про особу, зобов’</w:t>
      </w:r>
      <w:r w:rsidR="00CB6731" w:rsidRPr="00CB67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язані надавати її безперешкодно і безкоштовно на вимогу осіб, яких вона стосується, крім випадків, передбачених законом</w:t>
      </w:r>
      <w:r w:rsidR="00CB6731" w:rsidRPr="00CB673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ar-SA"/>
        </w:rPr>
        <w:t>.</w:t>
      </w:r>
    </w:p>
    <w:p w14:paraId="39BD35CE" w14:textId="36CE495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чином, з метою уникнення порушень норм законодавства щодо </w:t>
      </w:r>
      <w:r w:rsidR="0099093A">
        <w:rPr>
          <w:rFonts w:ascii="Times New Roman" w:eastAsia="Times New Roman" w:hAnsi="Times New Roman" w:cs="Times New Roman"/>
          <w:sz w:val="28"/>
          <w:szCs w:val="28"/>
          <w:lang w:eastAsia="ar-SA"/>
        </w:rPr>
        <w:t>доступу до інформації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виникала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необхідність вн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>есення змін, зокрема, до пункту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113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параграф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 xml:space="preserve"> 8 розділу І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ar-SA"/>
        </w:rPr>
        <w:t>Регламенту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2AC5FC26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Відповідно до пунктів 203–205 розділу IV Регламенту зміни чи доповнення до цього Регламенту можуть бути ініційовані будь-яким членом Комісії. Питання про внесення змін чи доповнень до Регламенту виноситься на розгляд Комісії Головою Комісії та вирішується в організаційному засіданні. Зміни чи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доповнення до Регламенту затверджуються чи відхиляються відповідним рішенням Комісії.</w:t>
      </w:r>
    </w:p>
    <w:p w14:paraId="08670F41" w14:textId="0606DB21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Заслухавши доповідача та обговоривши зазначене питання, Комісія вважає за необхідне внести відповідні зміни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пункту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85, 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підпункту 110.6 пункту 110 та </w:t>
      </w:r>
      <w:bookmarkStart w:id="9" w:name="_Hlk170113800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пункту 113 </w:t>
      </w:r>
      <w:bookmarkStart w:id="10" w:name="_Hlk170112470"/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параграф</w:t>
      </w:r>
      <w:r w:rsidR="00D2369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8 розділу І Регламенту.</w:t>
      </w:r>
    </w:p>
    <w:bookmarkEnd w:id="9"/>
    <w:bookmarkEnd w:id="10"/>
    <w:p w14:paraId="74C0F518" w14:textId="6799F668" w:rsidR="00CB6731" w:rsidRPr="00CB6731" w:rsidRDefault="00CB6731" w:rsidP="00CB6731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Керуючись статтями 92, 98, 101 Закону</w:t>
      </w:r>
      <w:r w:rsid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369F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України «Про судоустрій і статус суддів»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Вища кваліфікаційна комісія суддів </w:t>
      </w:r>
      <w:r w:rsidRPr="00D2369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України одноголосно </w:t>
      </w:r>
    </w:p>
    <w:p w14:paraId="52458330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вирішила:</w:t>
      </w:r>
    </w:p>
    <w:p w14:paraId="4FC6A5F3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D92922" w14:textId="77777777" w:rsidR="00CB6731" w:rsidRPr="00CB6731" w:rsidRDefault="00CB6731" w:rsidP="00CB6731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до Регламенту Вищої кваліфікаційної комісії суддів України, затвердженого рішенням Вищої кваліфікаційної комісії суддів України від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13.10.2016 №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81/зп-16 (у редакції рішення Вищої кваліфікаційної комісії суддів України від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19.10.2023 №</w:t>
      </w:r>
      <w:r w:rsidRPr="00CB673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 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119/зп-23, зі змінами), такі зміни:</w:t>
      </w:r>
    </w:p>
    <w:p w14:paraId="300BA644" w14:textId="0206AB79" w:rsidR="00CB6731" w:rsidRPr="00CB6731" w:rsidRDefault="00CB6731" w:rsidP="00CB67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1" w:name="_Hlk169856247"/>
      <w:bookmarkStart w:id="12" w:name="_Hlk169857253"/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85 параграф</w:t>
      </w:r>
      <w:r w:rsidR="001D543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розділу І</w:t>
      </w:r>
      <w:r w:rsidR="009B422C" w:rsidRPr="00456294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r w:rsidR="009B422C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404DC" w:rsidRPr="003404DC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викласти в такій редакції: «</w:t>
      </w:r>
      <w:r w:rsidR="003404DC">
        <w:rPr>
          <w:rFonts w:ascii="Times New Roman" w:eastAsia="Times New Roman" w:hAnsi="Times New Roman" w:cs="Times New Roman"/>
          <w:sz w:val="28"/>
          <w:szCs w:val="28"/>
          <w:lang w:eastAsia="ar-SA"/>
        </w:rPr>
        <w:t>85. Головуючий</w:t>
      </w:r>
      <w:r w:rsidR="005C6C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відкриває засідання і оголошує перелік питань, внесени</w:t>
      </w:r>
      <w:r w:rsidR="00AD0F2D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5C6C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для розгляду на засіданні Комісії.»;</w:t>
      </w:r>
    </w:p>
    <w:p w14:paraId="49F638EC" w14:textId="3D47FCD7" w:rsidR="00CB6731" w:rsidRPr="003378A9" w:rsidRDefault="00CB6731" w:rsidP="00CB67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підпункт </w:t>
      </w:r>
      <w:bookmarkEnd w:id="11"/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110.6 пункту 110 параграф</w:t>
      </w:r>
      <w:r w:rsidR="001D543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розділу І </w:t>
      </w:r>
      <w:bookmarkStart w:id="13" w:name="_Hlk170113819"/>
      <w:bookmarkStart w:id="14" w:name="_Hlk170478379"/>
      <w:r w:rsidR="005A7B0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  <w:r w:rsidR="005A7B08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викласти</w:t>
      </w:r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такій редакції:</w:t>
      </w:r>
      <w:bookmarkEnd w:id="13"/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«110.6. Перел</w:t>
      </w:r>
      <w:bookmarkEnd w:id="14"/>
      <w:r w:rsidRPr="00CB673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ік питань</w:t>
      </w:r>
      <w:r w:rsidR="005C6C0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затверджених для розгляду на </w:t>
      </w:r>
      <w:r w:rsidR="005C6C0B"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засіданні Комісії.</w:t>
      </w:r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»;</w:t>
      </w:r>
    </w:p>
    <w:p w14:paraId="05F294BF" w14:textId="4F861F91" w:rsidR="00CB6731" w:rsidRPr="003378A9" w:rsidRDefault="00CB6731" w:rsidP="00CB6731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378A9">
        <w:rPr>
          <w:rFonts w:ascii="Times New Roman" w:eastAsia="Times New Roman" w:hAnsi="Times New Roman" w:cs="Times New Roman"/>
          <w:sz w:val="28"/>
          <w:szCs w:val="28"/>
          <w:lang w:eastAsia="ar-SA"/>
        </w:rPr>
        <w:t>пункт 113 параграф</w:t>
      </w:r>
      <w:r w:rsidR="001D5434" w:rsidRPr="003378A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337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 розділу І </w:t>
      </w:r>
      <w:r w:rsidR="005A7B08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Регламенту</w:t>
      </w:r>
      <w:r w:rsidR="005A7B08" w:rsidRPr="00337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78A9">
        <w:rPr>
          <w:rFonts w:ascii="Times New Roman" w:eastAsia="Times New Roman" w:hAnsi="Times New Roman" w:cs="Times New Roman"/>
          <w:sz w:val="28"/>
          <w:szCs w:val="28"/>
          <w:lang w:eastAsia="ar-SA"/>
        </w:rPr>
        <w:t>викласти</w:t>
      </w:r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 такій редакції:</w:t>
      </w:r>
      <w:bookmarkEnd w:id="12"/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«</w:t>
      </w:r>
      <w:bookmarkStart w:id="15" w:name="991"/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113. Витяг із протоколу засідання, копія </w:t>
      </w:r>
      <w:r w:rsidR="003B422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технічної фіксації засідання (у </w:t>
      </w:r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разі їх складання) надаються за запитом члена Комісії, державних органів, уповноважених розглядати питання щодо оскарження рішень Комісії, особи, стосовно якої розглядалось питання, за її відповідним зверненням, на адвокатський запит</w:t>
      </w:r>
      <w:r w:rsidR="00550AFA"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в інших випадках</w:t>
      </w:r>
      <w:r w:rsidR="001D5434"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550AFA"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передбачених законом. </w:t>
      </w:r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Витяг із протоколу засідання засвідчується Головою Комісії або заступником Голови Комісії чи секретарями палат або головуючим у засіданні Колегії в межах повноважень.</w:t>
      </w:r>
      <w:bookmarkEnd w:id="15"/>
      <w:r w:rsidRPr="003378A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46412327" w14:textId="77777777" w:rsidR="00CB6731" w:rsidRPr="003378A9" w:rsidRDefault="00CB6731" w:rsidP="00CB6731">
      <w:pPr>
        <w:shd w:val="clear" w:color="auto" w:fill="FFFFFF"/>
        <w:suppressAutoHyphens/>
        <w:spacing w:after="0" w:line="240" w:lineRule="auto"/>
        <w:ind w:left="17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7A2FF4" w14:textId="77777777" w:rsidR="001D5434" w:rsidRPr="00CB6731" w:rsidRDefault="001D5434" w:rsidP="00CB6731">
      <w:pPr>
        <w:shd w:val="clear" w:color="auto" w:fill="FFFFFF"/>
        <w:suppressAutoHyphens/>
        <w:spacing w:after="0" w:line="240" w:lineRule="auto"/>
        <w:ind w:left="177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059B72B" w14:textId="076A7FA6" w:rsidR="00CB6731" w:rsidRPr="00CB6731" w:rsidRDefault="00CB6731" w:rsidP="00CB6731">
      <w:pPr>
        <w:shd w:val="clear" w:color="auto" w:fill="FFFFFF"/>
        <w:suppressAutoHyphens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Головуючий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C66114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Руслан СИДОРОВИЧ</w:t>
      </w:r>
    </w:p>
    <w:p w14:paraId="57FE17E9" w14:textId="33881A6C" w:rsidR="00417155" w:rsidRDefault="00CB6731" w:rsidP="00C23039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>Члени Комісії:</w:t>
      </w:r>
      <w:r w:rsidR="00EF7047" w:rsidRPr="00EF70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7047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F7047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F7047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EF7047" w:rsidRPr="00CB673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Михайл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БОГОН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І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</w:p>
    <w:p w14:paraId="2C8D83D8" w14:textId="40846E4B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Віталі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ГАЦЕЛЮК</w:t>
      </w:r>
    </w:p>
    <w:p w14:paraId="6C340011" w14:textId="40C96473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Роман КИДИСЮК</w:t>
      </w:r>
    </w:p>
    <w:p w14:paraId="154C4EC9" w14:textId="77C0F6CF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ія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КОБЕЦЬК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</w:p>
    <w:p w14:paraId="2EFAE764" w14:textId="4D3E34E3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9A1FD4">
        <w:rPr>
          <w:rFonts w:ascii="Times New Roman" w:eastAsia="Times New Roman" w:hAnsi="Times New Roman" w:cs="Times New Roman"/>
          <w:sz w:val="28"/>
          <w:szCs w:val="28"/>
          <w:lang w:eastAsia="ar-SA"/>
        </w:rPr>
        <w:t>Володимир ЛУГАНСЬКИЙ</w:t>
      </w:r>
    </w:p>
    <w:p w14:paraId="1BAB678E" w14:textId="1BAFB1B0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Руслан МЕЛЬНИК </w:t>
      </w:r>
    </w:p>
    <w:p w14:paraId="12BCFABA" w14:textId="3E40711F" w:rsidR="00417155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Андрі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ПАСІЧНИК</w:t>
      </w:r>
    </w:p>
    <w:p w14:paraId="4071589F" w14:textId="49409757" w:rsidR="00417155" w:rsidRPr="00CB6731" w:rsidRDefault="00EF7047" w:rsidP="00EF7047">
      <w:pPr>
        <w:shd w:val="clear" w:color="auto" w:fill="FFFFFF"/>
        <w:tabs>
          <w:tab w:val="left" w:pos="3969"/>
        </w:tabs>
        <w:suppressAutoHyphens/>
        <w:spacing w:after="120" w:line="240" w:lineRule="auto"/>
        <w:ind w:right="-1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5B28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Галин</w:t>
      </w:r>
      <w:r w:rsidR="00417155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C61B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17155" w:rsidRPr="00177534">
        <w:rPr>
          <w:rFonts w:ascii="Times New Roman" w:eastAsia="Times New Roman" w:hAnsi="Times New Roman" w:cs="Times New Roman"/>
          <w:sz w:val="28"/>
          <w:szCs w:val="28"/>
          <w:lang w:eastAsia="ar-SA"/>
        </w:rPr>
        <w:t>ШЕВЧУК</w:t>
      </w:r>
    </w:p>
    <w:p w14:paraId="24E35320" w14:textId="2C6927B1" w:rsidR="00CF4935" w:rsidRPr="00417155" w:rsidRDefault="00CF4935" w:rsidP="00417155">
      <w:pPr>
        <w:shd w:val="clear" w:color="auto" w:fill="FFFFFF"/>
        <w:suppressAutoHyphens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16" w:name="_GoBack"/>
      <w:bookmarkEnd w:id="16"/>
    </w:p>
    <w:sectPr w:rsidR="00CF4935" w:rsidRPr="00417155" w:rsidSect="00AD0F2D">
      <w:headerReference w:type="default" r:id="rId9"/>
      <w:pgSz w:w="11906" w:h="16838"/>
      <w:pgMar w:top="709" w:right="567" w:bottom="1134" w:left="1701" w:header="51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0F096" w14:textId="77777777" w:rsidR="0097649F" w:rsidRDefault="0097649F" w:rsidP="00CB6731">
      <w:pPr>
        <w:spacing w:after="0" w:line="240" w:lineRule="auto"/>
      </w:pPr>
      <w:r>
        <w:separator/>
      </w:r>
    </w:p>
  </w:endnote>
  <w:endnote w:type="continuationSeparator" w:id="0">
    <w:p w14:paraId="770F67DB" w14:textId="77777777" w:rsidR="0097649F" w:rsidRDefault="0097649F" w:rsidP="00CB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70400" w14:textId="77777777" w:rsidR="0097649F" w:rsidRDefault="0097649F" w:rsidP="00CB6731">
      <w:pPr>
        <w:spacing w:after="0" w:line="240" w:lineRule="auto"/>
      </w:pPr>
      <w:r>
        <w:separator/>
      </w:r>
    </w:p>
  </w:footnote>
  <w:footnote w:type="continuationSeparator" w:id="0">
    <w:p w14:paraId="2B39FCC2" w14:textId="77777777" w:rsidR="0097649F" w:rsidRDefault="0097649F" w:rsidP="00CB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02E6B" w14:textId="77777777" w:rsidR="00EA799E" w:rsidRPr="00D47532" w:rsidRDefault="00CB6731" w:rsidP="00EA799E">
    <w:pPr>
      <w:pStyle w:val="a3"/>
      <w:jc w:val="center"/>
      <w:rPr>
        <w:szCs w:val="20"/>
      </w:rPr>
    </w:pPr>
    <w:r w:rsidRPr="00D47532">
      <w:rPr>
        <w:szCs w:val="20"/>
      </w:rPr>
      <w:fldChar w:fldCharType="begin"/>
    </w:r>
    <w:r w:rsidRPr="00D47532">
      <w:rPr>
        <w:szCs w:val="20"/>
      </w:rPr>
      <w:instrText>PAGE   \* MERGEFORMAT</w:instrText>
    </w:r>
    <w:r w:rsidRPr="00D47532">
      <w:rPr>
        <w:szCs w:val="20"/>
      </w:rPr>
      <w:fldChar w:fldCharType="separate"/>
    </w:r>
    <w:r w:rsidR="003B4223">
      <w:rPr>
        <w:noProof/>
        <w:szCs w:val="20"/>
      </w:rPr>
      <w:t>2</w:t>
    </w:r>
    <w:r w:rsidRPr="00D47532">
      <w:rPr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22728"/>
    <w:multiLevelType w:val="hybridMultilevel"/>
    <w:tmpl w:val="11B80ACA"/>
    <w:lvl w:ilvl="0" w:tplc="231E8186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397"/>
    <w:rsid w:val="000B0BB9"/>
    <w:rsid w:val="00163212"/>
    <w:rsid w:val="00177534"/>
    <w:rsid w:val="001D5434"/>
    <w:rsid w:val="00232E49"/>
    <w:rsid w:val="00242E4C"/>
    <w:rsid w:val="0024727E"/>
    <w:rsid w:val="003378A9"/>
    <w:rsid w:val="003404DC"/>
    <w:rsid w:val="003952B6"/>
    <w:rsid w:val="003B4223"/>
    <w:rsid w:val="00417155"/>
    <w:rsid w:val="00456294"/>
    <w:rsid w:val="00550AFA"/>
    <w:rsid w:val="005A7B08"/>
    <w:rsid w:val="005B2833"/>
    <w:rsid w:val="005C6C0B"/>
    <w:rsid w:val="006B6561"/>
    <w:rsid w:val="00731A00"/>
    <w:rsid w:val="00855E63"/>
    <w:rsid w:val="008C14C7"/>
    <w:rsid w:val="0097649F"/>
    <w:rsid w:val="0099093A"/>
    <w:rsid w:val="009A1FD4"/>
    <w:rsid w:val="009B422C"/>
    <w:rsid w:val="00AD0F2D"/>
    <w:rsid w:val="00C23039"/>
    <w:rsid w:val="00C61BFC"/>
    <w:rsid w:val="00C66114"/>
    <w:rsid w:val="00CB6731"/>
    <w:rsid w:val="00CF4935"/>
    <w:rsid w:val="00D2369F"/>
    <w:rsid w:val="00EF7047"/>
    <w:rsid w:val="00F84397"/>
    <w:rsid w:val="00FA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E13C"/>
  <w15:chartTrackingRefBased/>
  <w15:docId w15:val="{1D73C449-19C5-42B9-B722-EA1C48C3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7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B6731"/>
  </w:style>
  <w:style w:type="paragraph" w:styleId="a5">
    <w:name w:val="footer"/>
    <w:basedOn w:val="a"/>
    <w:link w:val="a6"/>
    <w:uiPriority w:val="99"/>
    <w:unhideWhenUsed/>
    <w:rsid w:val="00CB67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B6731"/>
  </w:style>
  <w:style w:type="paragraph" w:customStyle="1" w:styleId="rvps2">
    <w:name w:val="rvps2"/>
    <w:basedOn w:val="a"/>
    <w:rsid w:val="0099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9909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n0003418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4431</Words>
  <Characters>2526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Довгейко Ольга Сергіївна</dc:creator>
  <cp:keywords/>
  <dc:description/>
  <cp:lastModifiedBy>Семоненко Ольга Миколаївна</cp:lastModifiedBy>
  <cp:revision>4</cp:revision>
  <cp:lastPrinted>2024-06-26T08:48:00Z</cp:lastPrinted>
  <dcterms:created xsi:type="dcterms:W3CDTF">2024-07-15T13:10:00Z</dcterms:created>
  <dcterms:modified xsi:type="dcterms:W3CDTF">2024-07-16T07:51:00Z</dcterms:modified>
</cp:coreProperties>
</file>