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987D67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87D67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987D67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987D67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Pr="00987D67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6481EFB" w:rsidR="00F97C42" w:rsidRPr="00987D67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87D6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950CE" w:rsidRPr="00987D67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987D6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 w:rsidRPr="00987D6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987D6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 w:rsidRPr="00987D6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987D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 w:rsidRPr="00987D6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 w:rsidRPr="00987D67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987D67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14B92BA8" w:rsidR="00F97C42" w:rsidRPr="00987D67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987D6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987D67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987D6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987D67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eastAsia="ru-RU"/>
        </w:rPr>
        <w:t xml:space="preserve"> </w:t>
      </w:r>
      <w:r w:rsidR="00246061" w:rsidRPr="00987D67">
        <w:rPr>
          <w:rFonts w:ascii="Times New Roman" w:hAnsi="Times New Roman" w:cs="Times New Roman"/>
          <w:sz w:val="26"/>
          <w:szCs w:val="26"/>
          <w:u w:val="single"/>
        </w:rPr>
        <w:t>280/дс-24</w:t>
      </w:r>
    </w:p>
    <w:p w14:paraId="7F7C0114" w14:textId="77777777" w:rsidR="00F97C42" w:rsidRPr="00987D67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987D67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987D67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7542F55" w14:textId="5AD212BC" w:rsidR="003E3AC2" w:rsidRPr="00987D67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 w:rsidRPr="00987D67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987D67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987D67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 w:rsidRPr="00987D67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 w:rsidRPr="00987D67">
        <w:rPr>
          <w:rFonts w:ascii="Times New Roman" w:hAnsi="Times New Roman" w:cs="Times New Roman"/>
          <w:sz w:val="26"/>
          <w:szCs w:val="26"/>
        </w:rPr>
        <w:t>(доповідач)</w:t>
      </w:r>
      <w:r w:rsidRPr="00987D67">
        <w:rPr>
          <w:rFonts w:ascii="Times New Roman" w:hAnsi="Times New Roman" w:cs="Times New Roman"/>
          <w:sz w:val="26"/>
          <w:szCs w:val="26"/>
        </w:rPr>
        <w:t xml:space="preserve">, </w:t>
      </w:r>
      <w:r w:rsidR="001F1B91" w:rsidRPr="00987D67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987D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Pr="00987D67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1453F958" w:rsidR="00D46752" w:rsidRPr="00987D67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 w:rsidRPr="00987D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50CE" w:rsidRPr="00987D67">
        <w:rPr>
          <w:rFonts w:ascii="Times New Roman" w:eastAsia="Times New Roman" w:hAnsi="Times New Roman" w:cs="Times New Roman"/>
          <w:sz w:val="26"/>
          <w:szCs w:val="26"/>
        </w:rPr>
        <w:t>Малицькою</w:t>
      </w:r>
      <w:proofErr w:type="spellEnd"/>
      <w:r w:rsidR="002950CE" w:rsidRPr="00987D67">
        <w:rPr>
          <w:rFonts w:ascii="Times New Roman" w:eastAsia="Times New Roman" w:hAnsi="Times New Roman" w:cs="Times New Roman"/>
          <w:sz w:val="26"/>
          <w:szCs w:val="26"/>
        </w:rPr>
        <w:t xml:space="preserve"> Ольгою Любомирівною</w:t>
      </w:r>
      <w:r w:rsidR="00A86376" w:rsidRPr="00987D6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987D67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Pr="00987D67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0490C230" w14:textId="77777777" w:rsidR="002950CE" w:rsidRPr="00987D67" w:rsidRDefault="002950CE" w:rsidP="0029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Малицька</w:t>
      </w:r>
      <w:proofErr w:type="spellEnd"/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Ольга Любомирівна, громадянка України, має вищу юридичну освіту.     </w:t>
      </w:r>
    </w:p>
    <w:p w14:paraId="407658FF" w14:textId="47AB0A68" w:rsidR="002950CE" w:rsidRPr="00987D67" w:rsidRDefault="00A66677" w:rsidP="00A6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2950CE" w:rsidRPr="00987D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2006 році закінчила Львівський національний університет імені Івана Франка </w:t>
      </w:r>
      <w:r w:rsidR="002950CE" w:rsidRPr="00987D6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одержала диплом за спеціальністю «Правознавство».</w:t>
      </w:r>
    </w:p>
    <w:p w14:paraId="2B21D1C2" w14:textId="21A54F97" w:rsidR="00CC51CF" w:rsidRPr="00987D67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2950CE" w:rsidRPr="00987D67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</w:t>
      </w:r>
      <w:r w:rsidRPr="00987D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Pr="00987D67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 w:rsidRPr="00987D67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 w:rsidRPr="00987D67">
        <w:rPr>
          <w:rFonts w:ascii="Times New Roman" w:hAnsi="Times New Roman" w:cs="Times New Roman"/>
          <w:sz w:val="26"/>
          <w:szCs w:val="26"/>
        </w:rPr>
        <w:t>5 років</w:t>
      </w:r>
      <w:r w:rsidR="00FE421A" w:rsidRPr="00987D6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0C1DBD99" w14:textId="459BEBC0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A773BA4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7727C64B" w:rsidR="00B12153" w:rsidRPr="00987D67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A978E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Малицька</w:t>
      </w:r>
      <w:proofErr w:type="spellEnd"/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Ольга Любомирівна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 w:rsidRPr="00987D67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A66677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7505176" w14:textId="6FF89849" w:rsidR="002950CE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A978E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188</w:t>
      </w:r>
      <w:r w:rsidR="00FE421A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proofErr w:type="spellStart"/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Малицьку</w:t>
      </w:r>
      <w:proofErr w:type="spellEnd"/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Ольгу Любомирівну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у судді місцевого суду</w:t>
      </w:r>
      <w:r w:rsidR="002950C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 складання відбіркового іспиту та проходження спеціальної підготовки як особу, яка відповідає пункту 29 розділу XII «Прикінцеві та перехідні положення» Закону України «Про судоустрій і статус суддів»</w:t>
      </w:r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(далі – Закон).</w:t>
      </w:r>
    </w:p>
    <w:p w14:paraId="684AF1CC" w14:textId="71D92E9D" w:rsidR="00B12153" w:rsidRPr="00987D67" w:rsidRDefault="005A18B2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="000E051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9D08F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50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030EB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Малицьку</w:t>
      </w:r>
      <w:proofErr w:type="spellEnd"/>
      <w:r w:rsidR="007030EB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Ольгу Любомирівну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625A15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1E2B1C04" w14:textId="06DB9A4B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531212AC" w:rsidR="00B12153" w:rsidRPr="00987D67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жовтня 2023 року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Малицька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Ольга Любомирівна </w:t>
      </w:r>
      <w:r w:rsidR="000A3A02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</w:t>
      </w:r>
      <w:r w:rsidR="00650920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D61738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1215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18043537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Малицьку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Ольгу Любомирівну </w:t>
      </w:r>
      <w:r w:rsidR="000E051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опущено до участі в оголошеному рішенням Комісії від 14 вересня </w:t>
      </w:r>
      <w:r w:rsidR="00E317D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0B599C14" w14:textId="02D17758" w:rsidR="00B12153" w:rsidRPr="00987D67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 w:rsidRPr="00987D67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 w:rsidRPr="00987D67">
        <w:rPr>
          <w:rFonts w:ascii="Times New Roman" w:eastAsia="Times New Roman" w:hAnsi="Times New Roman" w:cs="Times New Roman"/>
          <w:sz w:val="26"/>
          <w:szCs w:val="26"/>
        </w:rPr>
        <w:t>77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/зп-23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987D67"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987D67"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14213D"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987D67"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 w:rsidRPr="00987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 w:rsidRPr="00987D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6A4" w:rsidRPr="00987D67">
        <w:rPr>
          <w:rFonts w:ascii="Times New Roman" w:eastAsia="Times New Roman" w:hAnsi="Times New Roman" w:cs="Times New Roman"/>
          <w:sz w:val="26"/>
          <w:szCs w:val="26"/>
        </w:rPr>
        <w:t xml:space="preserve">Пирятинського районного суду Полтавської області, </w:t>
      </w:r>
      <w:r w:rsidR="002102B3" w:rsidRPr="00987D67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Малицька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Ольга Любомирівна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 w:rsidRPr="00987D67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 w:rsidRPr="00987D6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24D4AF54" w14:textId="234E3467" w:rsidR="002102B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625A15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Малицькою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Ольгою Любомирівною. </w:t>
      </w:r>
    </w:p>
    <w:p w14:paraId="3F68CED0" w14:textId="2FA695FC" w:rsidR="00B12153" w:rsidRPr="00987D67" w:rsidRDefault="002102B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 w:rsidRPr="00987D67"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B12153" w:rsidRPr="00987D67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Pr="00987D67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Pr="00987D67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Pr="00987D67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Pr="00987D67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Pr="00987D67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Pr="00987D67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Pr="00987D67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Pr="00987D67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Під час співбесіди із кандидатом та дослідження його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Pr="00987D67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 w:rsidRPr="00987D6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діяльності та особистому житті, а також щодо законності </w:t>
      </w:r>
      <w:r w:rsidR="006013D5"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6ABBAD17" w14:textId="3AA9AF13" w:rsidR="002102B3" w:rsidRPr="00987D67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Малицькою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Ольгою Любомирівною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 w:rsidRPr="00987D67">
        <w:rPr>
          <w:rFonts w:ascii="Times New Roman" w:eastAsia="Times New Roman" w:hAnsi="Times New Roman" w:cs="Times New Roman"/>
          <w:sz w:val="26"/>
          <w:szCs w:val="26"/>
        </w:rPr>
        <w:t>її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 w:rsidRPr="00987D6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 w:rsidRPr="00987D67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 w:rsidRPr="00987D67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 w:rsidRPr="00987D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C856A4" w:rsidRPr="00987D67">
        <w:rPr>
          <w:rFonts w:ascii="Times New Roman" w:eastAsia="Times New Roman" w:hAnsi="Times New Roman" w:cs="Times New Roman"/>
          <w:sz w:val="26"/>
          <w:szCs w:val="26"/>
        </w:rPr>
        <w:t>Пирятинського районного суду Полтавської області.</w:t>
      </w:r>
    </w:p>
    <w:p w14:paraId="7287C60F" w14:textId="061A617A" w:rsidR="000E051E" w:rsidRPr="00987D67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 w:rsidRPr="00987D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6A4" w:rsidRPr="00987D67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3D1A404A" w14:textId="77777777" w:rsidR="00C856A4" w:rsidRPr="00987D67" w:rsidRDefault="00C856A4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Pr="00987D67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Pr="00987D67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812C1D" w14:textId="77777777" w:rsidR="00C856A4" w:rsidRPr="00987D67" w:rsidRDefault="00354470" w:rsidP="00C85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>Малицьку</w:t>
      </w:r>
      <w:proofErr w:type="spellEnd"/>
      <w:r w:rsidR="00C856A4" w:rsidRPr="00987D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Ольгу Любомирівну </w:t>
      </w:r>
      <w:r w:rsidRPr="00987D67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C856A4" w:rsidRPr="00987D67">
        <w:rPr>
          <w:rFonts w:ascii="Times New Roman" w:eastAsia="Times New Roman" w:hAnsi="Times New Roman" w:cs="Times New Roman"/>
          <w:sz w:val="26"/>
          <w:szCs w:val="26"/>
        </w:rPr>
        <w:t>Пирятинського районного суду Полтавської області.</w:t>
      </w:r>
    </w:p>
    <w:p w14:paraId="60867543" w14:textId="77777777" w:rsidR="00C856A4" w:rsidRPr="00987D67" w:rsidRDefault="00C856A4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ED9FB" w14:textId="6217D4D7" w:rsidR="000E051E" w:rsidRPr="00987D67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647C8297" w:rsidR="00F522B3" w:rsidRPr="00987D67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>Головуючий</w:t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F522B3" w:rsidRPr="00987D6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E051E" w:rsidRPr="00987D6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66677" w:rsidRPr="00987D6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87D67"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 w:rsidRPr="00987D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7CB294" w14:textId="36121BFF" w:rsidR="00F522B3" w:rsidRPr="00987D67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</w:r>
      <w:r w:rsidR="000E051E" w:rsidRPr="00987D67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A66677" w:rsidRPr="00987D6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 w:rsidRPr="00987D67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 w:rsidRPr="00987D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FD7E3B" w14:textId="47F0492F" w:rsidR="00F522B3" w:rsidRPr="00987D67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D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E051E" w:rsidRPr="00987D6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F1B91" w:rsidRPr="00987D67">
        <w:rPr>
          <w:rFonts w:ascii="Times New Roman" w:hAnsi="Times New Roman" w:cs="Times New Roman"/>
          <w:sz w:val="26"/>
          <w:szCs w:val="26"/>
        </w:rPr>
        <w:t xml:space="preserve">  </w:t>
      </w:r>
      <w:r w:rsidRPr="00987D67">
        <w:rPr>
          <w:rFonts w:ascii="Times New Roman" w:hAnsi="Times New Roman" w:cs="Times New Roman"/>
          <w:sz w:val="26"/>
          <w:szCs w:val="26"/>
        </w:rPr>
        <w:t xml:space="preserve">     </w:t>
      </w:r>
      <w:r w:rsidR="00A66677" w:rsidRPr="00987D6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 w:rsidRPr="00987D67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 w:rsidRPr="00987D6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522B3" w:rsidRPr="00987D67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F9BEF" w14:textId="77777777" w:rsidR="00430BD8" w:rsidRDefault="00430BD8" w:rsidP="00080F54">
      <w:pPr>
        <w:spacing w:after="0" w:line="240" w:lineRule="auto"/>
      </w:pPr>
      <w:r>
        <w:separator/>
      </w:r>
    </w:p>
  </w:endnote>
  <w:endnote w:type="continuationSeparator" w:id="0">
    <w:p w14:paraId="2D83317C" w14:textId="77777777" w:rsidR="00430BD8" w:rsidRDefault="00430BD8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35163" w14:textId="77777777" w:rsidR="00430BD8" w:rsidRDefault="00430BD8" w:rsidP="00080F54">
      <w:pPr>
        <w:spacing w:after="0" w:line="240" w:lineRule="auto"/>
      </w:pPr>
      <w:r>
        <w:separator/>
      </w:r>
    </w:p>
  </w:footnote>
  <w:footnote w:type="continuationSeparator" w:id="0">
    <w:p w14:paraId="70722F55" w14:textId="77777777" w:rsidR="00430BD8" w:rsidRDefault="00430BD8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1F39FA39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67" w:rsidRPr="00987D67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02B3"/>
    <w:rsid w:val="00217845"/>
    <w:rsid w:val="00223902"/>
    <w:rsid w:val="00241B71"/>
    <w:rsid w:val="0024606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50CE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90A56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0BD8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0EB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804AD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87D67"/>
    <w:rsid w:val="0099100F"/>
    <w:rsid w:val="009965D1"/>
    <w:rsid w:val="009A2DF3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66677"/>
    <w:rsid w:val="00A80D13"/>
    <w:rsid w:val="00A82427"/>
    <w:rsid w:val="00A86376"/>
    <w:rsid w:val="00A86D82"/>
    <w:rsid w:val="00A978EE"/>
    <w:rsid w:val="00AD0693"/>
    <w:rsid w:val="00AD73EE"/>
    <w:rsid w:val="00AE2488"/>
    <w:rsid w:val="00AE35A8"/>
    <w:rsid w:val="00AE5F65"/>
    <w:rsid w:val="00AE6B5C"/>
    <w:rsid w:val="00AF0547"/>
    <w:rsid w:val="00AF463E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56A4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17D4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24E8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F4D8-EDCB-4A96-B3EC-856CE549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8</cp:revision>
  <cp:lastPrinted>2024-03-05T07:46:00Z</cp:lastPrinted>
  <dcterms:created xsi:type="dcterms:W3CDTF">2024-03-04T12:30:00Z</dcterms:created>
  <dcterms:modified xsi:type="dcterms:W3CDTF">2024-03-14T09:43:00Z</dcterms:modified>
</cp:coreProperties>
</file>