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7BC" w:rsidRPr="001D5B9F" w:rsidRDefault="00E47A9A">
      <w:pPr>
        <w:spacing w:after="0" w:line="240" w:lineRule="auto"/>
        <w:ind w:left="4517" w:right="4200"/>
        <w:rPr>
          <w:rFonts w:ascii="Times New Roman" w:eastAsia="Times New Roman" w:hAnsi="Times New Roman" w:cs="Times New Roman"/>
          <w:sz w:val="25"/>
          <w:szCs w:val="25"/>
          <w:lang w:val="uk-UA"/>
        </w:rPr>
      </w:pPr>
      <w:r w:rsidRPr="001D5B9F">
        <w:rPr>
          <w:rFonts w:ascii="Times New Roman" w:eastAsia="Times New Roman" w:hAnsi="Times New Roman" w:cs="Times New Roman"/>
          <w:noProof/>
          <w:color w:val="000000"/>
          <w:sz w:val="25"/>
          <w:szCs w:val="25"/>
          <w:lang w:val="uk-UA"/>
        </w:rPr>
        <w:drawing>
          <wp:inline distT="0" distB="0" distL="0" distR="0">
            <wp:extent cx="542925" cy="714375"/>
            <wp:effectExtent l="0" t="0" r="0" b="0"/>
            <wp:docPr id="6" name="image1.png" descr="Изображение выглядит как текст, символ, логотип, Шрифт&#10;&#10;Контент, сгенерированный ИИ, может содержать ошибки."/>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текст, символ, логотип, Шрифт&#10;&#10;Контент, сгенерированный ИИ, может содержать ошибки."/>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spacing w:after="0" w:line="240" w:lineRule="auto"/>
        <w:ind w:right="57"/>
        <w:jc w:val="center"/>
        <w:rPr>
          <w:rFonts w:ascii="Times New Roman" w:eastAsia="Times New Roman" w:hAnsi="Times New Roman" w:cs="Times New Roman"/>
          <w:sz w:val="36"/>
          <w:szCs w:val="36"/>
          <w:lang w:val="uk-UA"/>
        </w:rPr>
      </w:pPr>
      <w:r w:rsidRPr="001D5B9F">
        <w:rPr>
          <w:rFonts w:ascii="Times New Roman" w:eastAsia="Times New Roman" w:hAnsi="Times New Roman" w:cs="Times New Roman"/>
          <w:color w:val="000000"/>
          <w:sz w:val="36"/>
          <w:szCs w:val="36"/>
          <w:lang w:val="uk-UA"/>
        </w:rPr>
        <w:t>ВИЩА КВАЛІФІКАЦІЙНА КОМІСІЯ СУДДІВ УКРАЇНИ</w:t>
      </w:r>
    </w:p>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spacing w:after="0" w:line="240" w:lineRule="auto"/>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 xml:space="preserve">14 серпня 2025 року </w:t>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t xml:space="preserve">   м. Київ</w:t>
      </w:r>
    </w:p>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spacing w:after="0" w:line="240" w:lineRule="auto"/>
        <w:jc w:val="center"/>
        <w:rPr>
          <w:rFonts w:ascii="Times New Roman" w:eastAsia="Times New Roman" w:hAnsi="Times New Roman" w:cs="Times New Roman"/>
          <w:sz w:val="25"/>
          <w:szCs w:val="25"/>
          <w:u w:val="single"/>
          <w:lang w:val="uk-UA"/>
        </w:rPr>
      </w:pPr>
      <w:r w:rsidRPr="001D5B9F">
        <w:rPr>
          <w:rFonts w:ascii="Times New Roman" w:eastAsia="Times New Roman" w:hAnsi="Times New Roman" w:cs="Times New Roman"/>
          <w:color w:val="000000"/>
          <w:sz w:val="25"/>
          <w:szCs w:val="25"/>
          <w:lang w:val="uk-UA"/>
        </w:rPr>
        <w:t xml:space="preserve">Р І Ш Е Н </w:t>
      </w:r>
      <w:proofErr w:type="spellStart"/>
      <w:r w:rsidRPr="001D5B9F">
        <w:rPr>
          <w:rFonts w:ascii="Times New Roman" w:eastAsia="Times New Roman" w:hAnsi="Times New Roman" w:cs="Times New Roman"/>
          <w:color w:val="000000"/>
          <w:sz w:val="25"/>
          <w:szCs w:val="25"/>
          <w:lang w:val="uk-UA"/>
        </w:rPr>
        <w:t>Н</w:t>
      </w:r>
      <w:proofErr w:type="spellEnd"/>
      <w:r w:rsidRPr="001D5B9F">
        <w:rPr>
          <w:rFonts w:ascii="Times New Roman" w:eastAsia="Times New Roman" w:hAnsi="Times New Roman" w:cs="Times New Roman"/>
          <w:color w:val="000000"/>
          <w:sz w:val="25"/>
          <w:szCs w:val="25"/>
          <w:lang w:val="uk-UA"/>
        </w:rPr>
        <w:t xml:space="preserve"> Я №</w:t>
      </w:r>
      <w:r w:rsidR="001D5B9F">
        <w:rPr>
          <w:rFonts w:ascii="Times New Roman" w:eastAsia="Times New Roman" w:hAnsi="Times New Roman" w:cs="Times New Roman"/>
          <w:color w:val="000000"/>
          <w:sz w:val="25"/>
          <w:szCs w:val="25"/>
          <w:lang w:val="uk-UA"/>
        </w:rPr>
        <w:t xml:space="preserve"> </w:t>
      </w:r>
      <w:r w:rsidR="001D5B9F">
        <w:rPr>
          <w:rFonts w:ascii="Times New Roman" w:eastAsia="Times New Roman" w:hAnsi="Times New Roman" w:cs="Times New Roman"/>
          <w:color w:val="000000"/>
          <w:sz w:val="25"/>
          <w:szCs w:val="25"/>
          <w:u w:val="single"/>
          <w:lang w:val="uk-UA"/>
        </w:rPr>
        <w:t>293/ас-25</w:t>
      </w:r>
    </w:p>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Вища кваліфікаційна комісія суддів України у складі колегії № 3:</w:t>
      </w:r>
    </w:p>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shd w:val="clear" w:color="auto" w:fill="FFFFFF"/>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головуючого – Сергія ЧУМАКА,</w:t>
      </w:r>
    </w:p>
    <w:p w:rsidR="000D17BC" w:rsidRPr="001D5B9F" w:rsidRDefault="000D17BC">
      <w:pPr>
        <w:shd w:val="clear" w:color="auto" w:fill="FFFFFF"/>
        <w:spacing w:after="0" w:line="240" w:lineRule="auto"/>
        <w:jc w:val="both"/>
        <w:rPr>
          <w:rFonts w:ascii="Times New Roman" w:eastAsia="Times New Roman" w:hAnsi="Times New Roman" w:cs="Times New Roman"/>
          <w:sz w:val="25"/>
          <w:szCs w:val="25"/>
          <w:lang w:val="uk-UA"/>
        </w:rPr>
      </w:pPr>
    </w:p>
    <w:p w:rsidR="000D17BC" w:rsidRPr="001D5B9F" w:rsidRDefault="00E47A9A">
      <w:pPr>
        <w:shd w:val="clear" w:color="auto" w:fill="FFFFFF"/>
        <w:spacing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членів Комісії: Андрія ПАСІЧНИКА (доповідач), Романа САБОДАША,</w:t>
      </w:r>
    </w:p>
    <w:p w:rsidR="000D17BC" w:rsidRPr="001D5B9F" w:rsidRDefault="00E47A9A">
      <w:pPr>
        <w:shd w:val="clear" w:color="auto" w:fill="FFFFFF"/>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за участі:</w:t>
      </w:r>
    </w:p>
    <w:p w:rsidR="000D17BC" w:rsidRPr="001D5B9F" w:rsidRDefault="00E47A9A">
      <w:pPr>
        <w:shd w:val="clear" w:color="auto" w:fill="FFFFFF"/>
        <w:spacing w:after="0" w:line="240" w:lineRule="auto"/>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кандидата на посаду судді </w:t>
      </w:r>
      <w:r w:rsidRPr="001D5B9F">
        <w:rPr>
          <w:rFonts w:ascii="Times New Roman" w:eastAsia="Times New Roman" w:hAnsi="Times New Roman" w:cs="Times New Roman"/>
          <w:color w:val="000000"/>
          <w:sz w:val="25"/>
          <w:szCs w:val="25"/>
          <w:highlight w:val="white"/>
          <w:lang w:val="uk-UA"/>
        </w:rPr>
        <w:t xml:space="preserve">апеляційного загального суду </w:t>
      </w:r>
      <w:r w:rsidRPr="001D5B9F">
        <w:rPr>
          <w:rFonts w:ascii="Times New Roman" w:eastAsia="Times New Roman" w:hAnsi="Times New Roman" w:cs="Times New Roman"/>
          <w:sz w:val="25"/>
          <w:szCs w:val="25"/>
          <w:lang w:val="uk-UA"/>
        </w:rPr>
        <w:t>Олександра ГРАБЧУКА</w:t>
      </w:r>
      <w:r w:rsidRPr="001D5B9F">
        <w:rPr>
          <w:rFonts w:ascii="Times New Roman" w:eastAsia="Times New Roman" w:hAnsi="Times New Roman" w:cs="Times New Roman"/>
          <w:color w:val="000000"/>
          <w:sz w:val="25"/>
          <w:szCs w:val="25"/>
          <w:lang w:val="uk-UA"/>
        </w:rPr>
        <w:t>,</w:t>
      </w:r>
    </w:p>
    <w:p w:rsidR="000D17BC" w:rsidRPr="001D5B9F" w:rsidRDefault="00E47A9A">
      <w:pPr>
        <w:shd w:val="clear" w:color="auto" w:fill="FFFFFF"/>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представника Громадської ради доброчесності Тетяни КУРМАНОВОЇ,</w:t>
      </w:r>
    </w:p>
    <w:p w:rsidR="000D17BC" w:rsidRPr="001D5B9F" w:rsidRDefault="000D17BC">
      <w:pPr>
        <w:shd w:val="clear" w:color="auto" w:fill="FFFFFF"/>
        <w:spacing w:after="0" w:line="240" w:lineRule="auto"/>
        <w:ind w:right="-15"/>
        <w:jc w:val="both"/>
        <w:rPr>
          <w:rFonts w:ascii="Times New Roman" w:eastAsia="Times New Roman" w:hAnsi="Times New Roman" w:cs="Times New Roman"/>
          <w:sz w:val="25"/>
          <w:szCs w:val="25"/>
          <w:lang w:val="uk-UA"/>
        </w:rPr>
      </w:pPr>
    </w:p>
    <w:p w:rsidR="000D17BC" w:rsidRPr="001D5B9F" w:rsidRDefault="00385A9B">
      <w:pPr>
        <w:shd w:val="clear" w:color="auto" w:fill="FFFFFF"/>
        <w:spacing w:after="0" w:line="240" w:lineRule="auto"/>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розглянувши питання </w:t>
      </w:r>
      <w:r w:rsidR="00E47A9A" w:rsidRPr="001D5B9F">
        <w:rPr>
          <w:rFonts w:ascii="Times New Roman" w:eastAsia="Times New Roman" w:hAnsi="Times New Roman" w:cs="Times New Roman"/>
          <w:color w:val="000000"/>
          <w:sz w:val="25"/>
          <w:szCs w:val="25"/>
          <w:lang w:val="uk-UA"/>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на посаду судді апеляційного загального суду </w:t>
      </w:r>
      <w:proofErr w:type="spellStart"/>
      <w:r w:rsidR="00E47A9A" w:rsidRPr="001D5B9F">
        <w:rPr>
          <w:rFonts w:ascii="Times New Roman" w:eastAsia="Times New Roman" w:hAnsi="Times New Roman" w:cs="Times New Roman"/>
          <w:color w:val="000000"/>
          <w:sz w:val="25"/>
          <w:szCs w:val="25"/>
          <w:lang w:val="uk-UA"/>
        </w:rPr>
        <w:t>Грабчука</w:t>
      </w:r>
      <w:proofErr w:type="spellEnd"/>
      <w:r w:rsidR="00E47A9A" w:rsidRPr="001D5B9F">
        <w:rPr>
          <w:rFonts w:ascii="Times New Roman" w:eastAsia="Times New Roman" w:hAnsi="Times New Roman" w:cs="Times New Roman"/>
          <w:color w:val="000000"/>
          <w:sz w:val="25"/>
          <w:szCs w:val="25"/>
          <w:lang w:val="uk-UA"/>
        </w:rPr>
        <w:t xml:space="preserve"> Олександра Васильовича </w:t>
      </w:r>
      <w:r w:rsidRPr="001D5B9F">
        <w:rPr>
          <w:rFonts w:ascii="Times New Roman" w:eastAsia="Times New Roman" w:hAnsi="Times New Roman" w:cs="Times New Roman"/>
          <w:color w:val="000000"/>
          <w:sz w:val="25"/>
          <w:szCs w:val="25"/>
          <w:lang w:val="uk-UA"/>
        </w:rPr>
        <w:t>в</w:t>
      </w:r>
      <w:r w:rsidR="00E47A9A" w:rsidRPr="001D5B9F">
        <w:rPr>
          <w:rFonts w:ascii="Times New Roman" w:eastAsia="Times New Roman" w:hAnsi="Times New Roman" w:cs="Times New Roman"/>
          <w:color w:val="000000"/>
          <w:sz w:val="25"/>
          <w:szCs w:val="25"/>
          <w:lang w:val="uk-UA"/>
        </w:rPr>
        <w:t xml:space="preserve"> межах конкурсу, оголошеного рішенням Комісії від</w:t>
      </w:r>
      <w:r w:rsidR="001D5B9F">
        <w:rPr>
          <w:rFonts w:ascii="Times New Roman" w:eastAsia="Times New Roman" w:hAnsi="Times New Roman" w:cs="Times New Roman"/>
          <w:color w:val="000000"/>
          <w:sz w:val="25"/>
          <w:szCs w:val="25"/>
          <w:lang w:val="uk-UA"/>
        </w:rPr>
        <w:t xml:space="preserve"> </w:t>
      </w:r>
      <w:r w:rsidR="00E47A9A" w:rsidRPr="001D5B9F">
        <w:rPr>
          <w:rFonts w:ascii="Times New Roman" w:eastAsia="Times New Roman" w:hAnsi="Times New Roman" w:cs="Times New Roman"/>
          <w:color w:val="000000"/>
          <w:sz w:val="25"/>
          <w:szCs w:val="25"/>
          <w:lang w:val="uk-UA"/>
        </w:rPr>
        <w:t>14</w:t>
      </w:r>
      <w:r w:rsidR="001D5B9F">
        <w:rPr>
          <w:rFonts w:ascii="Times New Roman" w:eastAsia="Times New Roman" w:hAnsi="Times New Roman" w:cs="Times New Roman"/>
          <w:color w:val="000000"/>
          <w:sz w:val="25"/>
          <w:szCs w:val="25"/>
          <w:lang w:val="uk-UA"/>
        </w:rPr>
        <w:t xml:space="preserve"> </w:t>
      </w:r>
      <w:r w:rsidR="00E47A9A" w:rsidRPr="001D5B9F">
        <w:rPr>
          <w:rFonts w:ascii="Times New Roman" w:eastAsia="Times New Roman" w:hAnsi="Times New Roman" w:cs="Times New Roman"/>
          <w:color w:val="000000"/>
          <w:sz w:val="25"/>
          <w:szCs w:val="25"/>
          <w:lang w:val="uk-UA"/>
        </w:rPr>
        <w:t>вересня 2023 року № 94/зп-23 (зі змінами),</w:t>
      </w:r>
    </w:p>
    <w:p w:rsidR="000D17BC" w:rsidRPr="001D5B9F" w:rsidRDefault="000D17BC">
      <w:pPr>
        <w:shd w:val="clear" w:color="auto" w:fill="FFFFFF"/>
        <w:spacing w:after="0" w:line="240" w:lineRule="auto"/>
        <w:jc w:val="both"/>
        <w:rPr>
          <w:rFonts w:ascii="Times New Roman" w:eastAsia="Times New Roman" w:hAnsi="Times New Roman" w:cs="Times New Roman"/>
          <w:sz w:val="25"/>
          <w:szCs w:val="25"/>
          <w:lang w:val="uk-UA"/>
        </w:rPr>
      </w:pPr>
    </w:p>
    <w:p w:rsidR="000D17BC" w:rsidRPr="001D5B9F" w:rsidRDefault="00E47A9A">
      <w:pPr>
        <w:shd w:val="clear" w:color="auto" w:fill="FFFFFF"/>
        <w:spacing w:after="0" w:line="240" w:lineRule="auto"/>
        <w:ind w:right="-15"/>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встановила:</w:t>
      </w:r>
    </w:p>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b/>
          <w:color w:val="000000"/>
          <w:sz w:val="25"/>
          <w:szCs w:val="25"/>
          <w:lang w:val="uk-UA"/>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0D17BC" w:rsidRPr="001D5B9F" w:rsidRDefault="00E47A9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w:t>
      </w:r>
      <w:r w:rsidR="001D5B9F">
        <w:rPr>
          <w:rFonts w:ascii="Times New Roman" w:eastAsia="Times New Roman" w:hAnsi="Times New Roman" w:cs="Times New Roman"/>
          <w:color w:val="000000"/>
          <w:sz w:val="25"/>
          <w:szCs w:val="25"/>
          <w:lang w:val="uk-UA"/>
        </w:rPr>
        <w:t xml:space="preserve"> </w:t>
      </w:r>
      <w:r w:rsidRPr="001D5B9F">
        <w:rPr>
          <w:rFonts w:ascii="Times New Roman" w:eastAsia="Times New Roman" w:hAnsi="Times New Roman" w:cs="Times New Roman"/>
          <w:color w:val="000000"/>
          <w:sz w:val="25"/>
          <w:szCs w:val="25"/>
          <w:lang w:val="uk-UA"/>
        </w:rPr>
        <w:t xml:space="preserve">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w:t>
      </w:r>
      <w:r w:rsidRPr="001D5B9F">
        <w:rPr>
          <w:rFonts w:ascii="Times New Roman" w:eastAsia="Times New Roman" w:hAnsi="Times New Roman" w:cs="Times New Roman"/>
          <w:color w:val="000000"/>
          <w:sz w:val="25"/>
          <w:szCs w:val="25"/>
          <w:lang w:val="uk-UA"/>
        </w:rPr>
        <w:lastRenderedPageBreak/>
        <w:t>та з урахуванням особливостей, передбачених статтею 79-3 Закону (пункт 1.5 Положення про конкурс).</w:t>
      </w:r>
    </w:p>
    <w:p w:rsidR="000D17BC" w:rsidRPr="001D5B9F" w:rsidRDefault="00E47A9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0D17BC" w:rsidRPr="001D5B9F" w:rsidRDefault="00E47A9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0D17BC" w:rsidRPr="001D5B9F" w:rsidRDefault="00E47A9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1D5B9F">
        <w:rPr>
          <w:rFonts w:ascii="Times New Roman" w:eastAsia="Times New Roman" w:hAnsi="Times New Roman" w:cs="Times New Roman"/>
          <w:color w:val="000000"/>
          <w:sz w:val="25"/>
          <w:szCs w:val="25"/>
          <w:lang w:val="uk-UA"/>
        </w:rPr>
        <w:t xml:space="preserve"> </w:t>
      </w:r>
      <w:r w:rsidRPr="001D5B9F">
        <w:rPr>
          <w:rFonts w:ascii="Times New Roman" w:eastAsia="Times New Roman" w:hAnsi="Times New Roman" w:cs="Times New Roman"/>
          <w:color w:val="000000"/>
          <w:sz w:val="25"/>
          <w:szCs w:val="25"/>
          <w:lang w:val="uk-UA"/>
        </w:rPr>
        <w:t>–</w:t>
      </w:r>
      <w:r w:rsidR="001D5B9F">
        <w:rPr>
          <w:rFonts w:ascii="Times New Roman" w:eastAsia="Times New Roman" w:hAnsi="Times New Roman" w:cs="Times New Roman"/>
          <w:color w:val="000000"/>
          <w:sz w:val="25"/>
          <w:szCs w:val="25"/>
          <w:lang w:val="uk-UA"/>
        </w:rPr>
        <w:t xml:space="preserve"> </w:t>
      </w:r>
      <w:r w:rsidRPr="001D5B9F">
        <w:rPr>
          <w:rFonts w:ascii="Times New Roman" w:eastAsia="Times New Roman" w:hAnsi="Times New Roman" w:cs="Times New Roman"/>
          <w:color w:val="000000"/>
          <w:sz w:val="25"/>
          <w:szCs w:val="25"/>
          <w:lang w:val="uk-UA"/>
        </w:rPr>
        <w:t>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0D17BC" w:rsidRPr="001D5B9F" w:rsidRDefault="00E47A9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загальної юрисдикції, виникла об’єктивна потреба у проведенні конкурсу на вакантні посади суддів апеляційних судів.</w:t>
      </w:r>
    </w:p>
    <w:p w:rsidR="000D17BC" w:rsidRPr="001D5B9F" w:rsidRDefault="00E47A9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Рішенням Вищої кваліфікаційної комісії суддів України від 14 вересня 2023 року № 94/зп-23 (зі змінами та доповненнями) оголошено конкурс на зайняття 550</w:t>
      </w:r>
      <w:r w:rsidR="00385A9B" w:rsidRPr="001D5B9F">
        <w:rPr>
          <w:rFonts w:ascii="Times New Roman" w:eastAsia="Times New Roman" w:hAnsi="Times New Roman" w:cs="Times New Roman"/>
          <w:color w:val="000000"/>
          <w:sz w:val="25"/>
          <w:szCs w:val="25"/>
          <w:lang w:val="uk-UA"/>
        </w:rPr>
        <w:t> </w:t>
      </w:r>
      <w:r w:rsidRPr="001D5B9F">
        <w:rPr>
          <w:rFonts w:ascii="Times New Roman" w:eastAsia="Times New Roman" w:hAnsi="Times New Roman" w:cs="Times New Roman"/>
          <w:color w:val="000000"/>
          <w:sz w:val="25"/>
          <w:szCs w:val="25"/>
          <w:lang w:val="uk-UA"/>
        </w:rPr>
        <w:t>вакантних посад суддів в апеляційних судах, зокрема в апеляційних загальних судах. </w:t>
      </w:r>
    </w:p>
    <w:p w:rsidR="000D17BC" w:rsidRPr="001D5B9F" w:rsidRDefault="00E47A9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0D17BC" w:rsidRPr="001D5B9F" w:rsidRDefault="00E47A9A">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proofErr w:type="spellStart"/>
      <w:r w:rsidRPr="001D5B9F">
        <w:rPr>
          <w:rFonts w:ascii="Times New Roman" w:eastAsia="Times New Roman" w:hAnsi="Times New Roman" w:cs="Times New Roman"/>
          <w:color w:val="000000"/>
          <w:sz w:val="25"/>
          <w:szCs w:val="25"/>
          <w:lang w:val="uk-UA"/>
        </w:rPr>
        <w:t>Грабчук</w:t>
      </w:r>
      <w:proofErr w:type="spellEnd"/>
      <w:r w:rsidRPr="001D5B9F">
        <w:rPr>
          <w:rFonts w:ascii="Times New Roman" w:eastAsia="Times New Roman" w:hAnsi="Times New Roman" w:cs="Times New Roman"/>
          <w:color w:val="000000"/>
          <w:sz w:val="25"/>
          <w:szCs w:val="25"/>
          <w:lang w:val="uk-UA"/>
        </w:rPr>
        <w:t xml:space="preserve"> О.В</w:t>
      </w:r>
      <w:r w:rsidRPr="001D5B9F">
        <w:rPr>
          <w:rFonts w:ascii="Times New Roman" w:eastAsia="Times New Roman" w:hAnsi="Times New Roman" w:cs="Times New Roman"/>
          <w:sz w:val="25"/>
          <w:szCs w:val="25"/>
          <w:lang w:val="uk-UA"/>
        </w:rPr>
        <w:t>.</w:t>
      </w:r>
      <w:r w:rsidRPr="001D5B9F">
        <w:rPr>
          <w:rFonts w:ascii="Times New Roman" w:eastAsia="Times New Roman" w:hAnsi="Times New Roman" w:cs="Times New Roman"/>
          <w:color w:val="000000"/>
          <w:sz w:val="25"/>
          <w:szCs w:val="25"/>
          <w:lang w:val="uk-UA"/>
        </w:rPr>
        <w:t xml:space="preserve"> у визначений строк зверну</w:t>
      </w:r>
      <w:r w:rsidRPr="001D5B9F">
        <w:rPr>
          <w:rFonts w:ascii="Times New Roman" w:eastAsia="Times New Roman" w:hAnsi="Times New Roman" w:cs="Times New Roman"/>
          <w:sz w:val="25"/>
          <w:szCs w:val="25"/>
          <w:lang w:val="uk-UA"/>
        </w:rPr>
        <w:t>в</w:t>
      </w:r>
      <w:r w:rsidRPr="001D5B9F">
        <w:rPr>
          <w:rFonts w:ascii="Times New Roman" w:eastAsia="Times New Roman" w:hAnsi="Times New Roman" w:cs="Times New Roman"/>
          <w:color w:val="000000"/>
          <w:sz w:val="25"/>
          <w:szCs w:val="25"/>
          <w:lang w:val="uk-UA"/>
        </w:rPr>
        <w:t>ся до Вищої кваліфікаційної комісії суддів України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та про проведення стосовно неї кваліфікаційного оцінювання для підтвердження здатності здійснювати правосуддя у відповідному суді.</w:t>
      </w:r>
    </w:p>
    <w:p w:rsidR="000D17BC" w:rsidRPr="001D5B9F" w:rsidRDefault="00385A9B">
      <w:pPr>
        <w:numPr>
          <w:ilvl w:val="0"/>
          <w:numId w:val="1"/>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Рішенням Комісії від 17 квітня </w:t>
      </w:r>
      <w:r w:rsidR="00E47A9A" w:rsidRPr="001D5B9F">
        <w:rPr>
          <w:rFonts w:ascii="Times New Roman" w:eastAsia="Times New Roman" w:hAnsi="Times New Roman" w:cs="Times New Roman"/>
          <w:color w:val="000000"/>
          <w:sz w:val="25"/>
          <w:szCs w:val="25"/>
          <w:lang w:val="uk-UA"/>
        </w:rPr>
        <w:t>2025</w:t>
      </w:r>
      <w:r w:rsidRPr="001D5B9F">
        <w:rPr>
          <w:rFonts w:ascii="Times New Roman" w:eastAsia="Times New Roman" w:hAnsi="Times New Roman" w:cs="Times New Roman"/>
          <w:color w:val="000000"/>
          <w:sz w:val="25"/>
          <w:szCs w:val="25"/>
          <w:lang w:val="uk-UA"/>
        </w:rPr>
        <w:t xml:space="preserve"> року</w:t>
      </w:r>
      <w:r w:rsidR="00E47A9A" w:rsidRPr="001D5B9F">
        <w:rPr>
          <w:rFonts w:ascii="Times New Roman" w:eastAsia="Times New Roman" w:hAnsi="Times New Roman" w:cs="Times New Roman"/>
          <w:color w:val="000000"/>
          <w:sz w:val="25"/>
          <w:szCs w:val="25"/>
          <w:lang w:val="uk-UA"/>
        </w:rPr>
        <w:t xml:space="preserve"> № 89/зп-25 допущено 706</w:t>
      </w:r>
      <w:r w:rsidRPr="001D5B9F">
        <w:rPr>
          <w:rFonts w:ascii="Times New Roman" w:eastAsia="Times New Roman" w:hAnsi="Times New Roman" w:cs="Times New Roman"/>
          <w:color w:val="000000"/>
          <w:sz w:val="25"/>
          <w:szCs w:val="25"/>
          <w:lang w:val="uk-UA"/>
        </w:rPr>
        <w:t> </w:t>
      </w:r>
      <w:r w:rsidR="00E47A9A" w:rsidRPr="001D5B9F">
        <w:rPr>
          <w:rFonts w:ascii="Times New Roman" w:eastAsia="Times New Roman" w:hAnsi="Times New Roman" w:cs="Times New Roman"/>
          <w:color w:val="000000"/>
          <w:sz w:val="25"/>
          <w:szCs w:val="25"/>
          <w:lang w:val="uk-UA"/>
        </w:rPr>
        <w:t xml:space="preserve">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w:t>
      </w:r>
      <w:r w:rsidR="00E47A9A" w:rsidRPr="001D5B9F">
        <w:rPr>
          <w:rFonts w:ascii="Times New Roman" w:eastAsia="Times New Roman" w:hAnsi="Times New Roman" w:cs="Times New Roman"/>
          <w:color w:val="000000"/>
          <w:sz w:val="25"/>
          <w:szCs w:val="25"/>
          <w:lang w:val="uk-UA"/>
        </w:rPr>
        <w:lastRenderedPageBreak/>
        <w:t>та проведення співбесіди» у межах конкурсу, оголошеного рішенням Комісії від 14</w:t>
      </w:r>
      <w:r w:rsidRPr="001D5B9F">
        <w:rPr>
          <w:rFonts w:ascii="Times New Roman" w:eastAsia="Times New Roman" w:hAnsi="Times New Roman" w:cs="Times New Roman"/>
          <w:color w:val="000000"/>
          <w:sz w:val="25"/>
          <w:szCs w:val="25"/>
          <w:lang w:val="uk-UA"/>
        </w:rPr>
        <w:t> </w:t>
      </w:r>
      <w:r w:rsidR="00E47A9A" w:rsidRPr="001D5B9F">
        <w:rPr>
          <w:rFonts w:ascii="Times New Roman" w:eastAsia="Times New Roman" w:hAnsi="Times New Roman" w:cs="Times New Roman"/>
          <w:color w:val="000000"/>
          <w:sz w:val="25"/>
          <w:szCs w:val="25"/>
          <w:lang w:val="uk-UA"/>
        </w:rPr>
        <w:t xml:space="preserve">вересня 2023 року № 94/зп-23, зокрема </w:t>
      </w:r>
      <w:proofErr w:type="spellStart"/>
      <w:r w:rsidR="00E47A9A" w:rsidRPr="001D5B9F">
        <w:rPr>
          <w:rFonts w:ascii="Times New Roman" w:eastAsia="Times New Roman" w:hAnsi="Times New Roman" w:cs="Times New Roman"/>
          <w:color w:val="000000"/>
          <w:sz w:val="25"/>
          <w:szCs w:val="25"/>
          <w:lang w:val="uk-UA"/>
        </w:rPr>
        <w:t>Грабчука</w:t>
      </w:r>
      <w:proofErr w:type="spellEnd"/>
      <w:r w:rsidR="00E47A9A" w:rsidRPr="001D5B9F">
        <w:rPr>
          <w:rFonts w:ascii="Times New Roman" w:eastAsia="Times New Roman" w:hAnsi="Times New Roman" w:cs="Times New Roman"/>
          <w:color w:val="000000"/>
          <w:sz w:val="25"/>
          <w:szCs w:val="25"/>
          <w:lang w:val="uk-UA"/>
        </w:rPr>
        <w:t xml:space="preserve"> О.В., до другого етапу кваліфікаційного оцінювання «Дослідження досьє та проведення співбесіди».</w:t>
      </w:r>
    </w:p>
    <w:p w:rsidR="000D17BC" w:rsidRPr="001D5B9F" w:rsidRDefault="000D17BC">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b/>
          <w:color w:val="000000"/>
          <w:sz w:val="25"/>
          <w:szCs w:val="25"/>
          <w:lang w:val="uk-UA"/>
        </w:rPr>
        <w:t>ІІ. Основні відомості про кандидата. </w:t>
      </w:r>
    </w:p>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numPr>
          <w:ilvl w:val="0"/>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proofErr w:type="spellStart"/>
      <w:r w:rsidRPr="001D5B9F">
        <w:rPr>
          <w:rFonts w:ascii="Times New Roman" w:eastAsia="Times New Roman" w:hAnsi="Times New Roman" w:cs="Times New Roman"/>
          <w:color w:val="000000"/>
          <w:sz w:val="25"/>
          <w:szCs w:val="25"/>
          <w:lang w:val="uk-UA"/>
        </w:rPr>
        <w:t>Грабчук</w:t>
      </w:r>
      <w:proofErr w:type="spellEnd"/>
      <w:r w:rsidRPr="001D5B9F">
        <w:rPr>
          <w:rFonts w:ascii="Times New Roman" w:eastAsia="Times New Roman" w:hAnsi="Times New Roman" w:cs="Times New Roman"/>
          <w:color w:val="000000"/>
          <w:sz w:val="25"/>
          <w:szCs w:val="25"/>
          <w:lang w:val="uk-UA"/>
        </w:rPr>
        <w:t xml:space="preserve"> О.В., дата народження – </w:t>
      </w:r>
      <w:r w:rsidR="00744C2D">
        <w:rPr>
          <w:rFonts w:ascii="Times New Roman" w:eastAsia="Times New Roman" w:hAnsi="Times New Roman" w:cs="Times New Roman"/>
          <w:color w:val="000000"/>
          <w:sz w:val="25"/>
          <w:szCs w:val="25"/>
          <w:lang w:val="uk-UA"/>
        </w:rPr>
        <w:t>______________</w:t>
      </w:r>
      <w:r w:rsidRPr="001D5B9F">
        <w:rPr>
          <w:rFonts w:ascii="Times New Roman" w:eastAsia="Times New Roman" w:hAnsi="Times New Roman" w:cs="Times New Roman"/>
          <w:color w:val="000000"/>
          <w:sz w:val="25"/>
          <w:szCs w:val="25"/>
          <w:lang w:val="uk-UA"/>
        </w:rPr>
        <w:t xml:space="preserve"> року, громадянин України.</w:t>
      </w:r>
    </w:p>
    <w:p w:rsidR="000D17BC" w:rsidRPr="001D5B9F" w:rsidRDefault="00E47A9A">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lang w:val="uk-UA"/>
        </w:rPr>
      </w:pPr>
      <w:r w:rsidRPr="001D5B9F">
        <w:rPr>
          <w:rFonts w:ascii="Times New Roman" w:eastAsia="Times New Roman" w:hAnsi="Times New Roman" w:cs="Times New Roman"/>
          <w:color w:val="000000"/>
          <w:sz w:val="25"/>
          <w:szCs w:val="25"/>
          <w:lang w:val="uk-UA"/>
        </w:rPr>
        <w:t>У 2007 році закінчив Національну юридичну академію України імені Ярослава Мудрого і отримав повну вищу освіту за спеціальністю «Правознавство» та здобув кваліфікацію юриста (спеціаліст).</w:t>
      </w:r>
    </w:p>
    <w:p w:rsidR="000D17BC" w:rsidRPr="001D5B9F" w:rsidRDefault="00E47A9A">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lang w:val="uk-UA"/>
        </w:rPr>
      </w:pPr>
      <w:r w:rsidRPr="001D5B9F">
        <w:rPr>
          <w:rFonts w:ascii="Times New Roman" w:eastAsia="Times New Roman" w:hAnsi="Times New Roman" w:cs="Times New Roman"/>
          <w:color w:val="000000"/>
          <w:sz w:val="25"/>
          <w:szCs w:val="25"/>
          <w:lang w:val="uk-UA"/>
        </w:rPr>
        <w:t>У 2022 році закінчив Державний університет «Житомирська політехніка» та отримав науковий ступінь кандидата юридичних наук.</w:t>
      </w:r>
    </w:p>
    <w:p w:rsidR="000D17BC" w:rsidRPr="001D5B9F" w:rsidRDefault="00E47A9A">
      <w:pPr>
        <w:numPr>
          <w:ilvl w:val="0"/>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5"/>
          <w:szCs w:val="25"/>
          <w:highlight w:val="white"/>
          <w:lang w:val="uk-UA"/>
        </w:rPr>
      </w:pPr>
      <w:r w:rsidRPr="001D5B9F">
        <w:rPr>
          <w:rFonts w:ascii="Times New Roman" w:eastAsia="Times New Roman" w:hAnsi="Times New Roman" w:cs="Times New Roman"/>
          <w:color w:val="000000"/>
          <w:sz w:val="25"/>
          <w:szCs w:val="25"/>
          <w:lang w:val="uk-UA"/>
        </w:rPr>
        <w:t>Має досвід професійної діяльності адвоката, в тому числі щодо здійснення представництва в суді та/або захисту від кримінального обвинувачення</w:t>
      </w:r>
      <w:r w:rsidR="00385A9B" w:rsidRPr="001D5B9F">
        <w:rPr>
          <w:rFonts w:ascii="Times New Roman" w:eastAsia="Times New Roman" w:hAnsi="Times New Roman" w:cs="Times New Roman"/>
          <w:color w:val="000000"/>
          <w:sz w:val="25"/>
          <w:szCs w:val="25"/>
          <w:lang w:val="uk-UA"/>
        </w:rPr>
        <w:t>,</w:t>
      </w:r>
      <w:r w:rsidRPr="001D5B9F">
        <w:rPr>
          <w:rFonts w:ascii="Times New Roman" w:eastAsia="Times New Roman" w:hAnsi="Times New Roman" w:cs="Times New Roman"/>
          <w:color w:val="000000"/>
          <w:sz w:val="25"/>
          <w:szCs w:val="25"/>
          <w:lang w:val="uk-UA"/>
        </w:rPr>
        <w:t xml:space="preserve"> понад сім років</w:t>
      </w:r>
      <w:r w:rsidRPr="001D5B9F">
        <w:rPr>
          <w:rFonts w:ascii="Times New Roman" w:eastAsia="Times New Roman" w:hAnsi="Times New Roman" w:cs="Times New Roman"/>
          <w:color w:val="000000"/>
          <w:sz w:val="25"/>
          <w:szCs w:val="25"/>
          <w:highlight w:val="white"/>
          <w:lang w:val="uk-UA"/>
        </w:rPr>
        <w:t>.</w:t>
      </w:r>
    </w:p>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spacing w:after="0" w:line="240" w:lineRule="auto"/>
        <w:jc w:val="both"/>
        <w:rPr>
          <w:rFonts w:ascii="Times New Roman" w:eastAsia="Times New Roman" w:hAnsi="Times New Roman" w:cs="Times New Roman"/>
          <w:b/>
          <w:color w:val="000000"/>
          <w:sz w:val="25"/>
          <w:szCs w:val="25"/>
          <w:lang w:val="uk-UA"/>
        </w:rPr>
      </w:pPr>
      <w:r w:rsidRPr="001D5B9F">
        <w:rPr>
          <w:rFonts w:ascii="Times New Roman" w:eastAsia="Times New Roman" w:hAnsi="Times New Roman" w:cs="Times New Roman"/>
          <w:b/>
          <w:color w:val="000000"/>
          <w:sz w:val="25"/>
          <w:szCs w:val="25"/>
          <w:lang w:val="uk-UA"/>
        </w:rPr>
        <w:t>ІІІ. Складання кваліфікаційного іспиту (встановлення відповідності кандидата критерію професійної компетентності).</w:t>
      </w:r>
    </w:p>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1D5B9F">
        <w:rPr>
          <w:rFonts w:ascii="Times New Roman" w:eastAsia="Times New Roman" w:hAnsi="Times New Roman" w:cs="Times New Roman"/>
          <w:color w:val="000000"/>
          <w:sz w:val="25"/>
          <w:szCs w:val="25"/>
          <w:lang w:val="uk-UA"/>
        </w:rPr>
        <w:t>інстанційності</w:t>
      </w:r>
      <w:proofErr w:type="spellEnd"/>
      <w:r w:rsidRPr="001D5B9F">
        <w:rPr>
          <w:rFonts w:ascii="Times New Roman" w:eastAsia="Times New Roman" w:hAnsi="Times New Roman" w:cs="Times New Roman"/>
          <w:color w:val="000000"/>
          <w:sz w:val="25"/>
          <w:szCs w:val="25"/>
          <w:lang w:val="uk-UA"/>
        </w:rPr>
        <w:t xml:space="preserve">. Практичне завдання проводиться щодо спеціалізації відповідного суду з урахуванням його </w:t>
      </w:r>
      <w:proofErr w:type="spellStart"/>
      <w:r w:rsidRPr="001D5B9F">
        <w:rPr>
          <w:rFonts w:ascii="Times New Roman" w:eastAsia="Times New Roman" w:hAnsi="Times New Roman" w:cs="Times New Roman"/>
          <w:color w:val="000000"/>
          <w:sz w:val="25"/>
          <w:szCs w:val="25"/>
          <w:lang w:val="uk-UA"/>
        </w:rPr>
        <w:t>інстанційності</w:t>
      </w:r>
      <w:proofErr w:type="spellEnd"/>
      <w:r w:rsidRPr="001D5B9F">
        <w:rPr>
          <w:rFonts w:ascii="Times New Roman" w:eastAsia="Times New Roman" w:hAnsi="Times New Roman" w:cs="Times New Roman"/>
          <w:color w:val="000000"/>
          <w:sz w:val="25"/>
          <w:szCs w:val="25"/>
          <w:lang w:val="uk-UA"/>
        </w:rPr>
        <w:t>.</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Рішенням Комісії від 20 січня 2025 року № 16/зп-25 затверджено кодовані та декодовані результати тестування когнітивних здібностей.</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Рішеннями Комісії від 17 квітня 2025 року № 89/зп-25 затверджено декодовані результати практичного завдання,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w:t>
      </w:r>
      <w:r w:rsidR="001D5B9F">
        <w:rPr>
          <w:rFonts w:ascii="Times New Roman" w:eastAsia="Times New Roman" w:hAnsi="Times New Roman" w:cs="Times New Roman"/>
          <w:color w:val="000000"/>
          <w:sz w:val="25"/>
          <w:szCs w:val="25"/>
          <w:lang w:val="uk-UA"/>
        </w:rPr>
        <w:t xml:space="preserve"> </w:t>
      </w:r>
      <w:r w:rsidRPr="001D5B9F">
        <w:rPr>
          <w:rFonts w:ascii="Times New Roman" w:eastAsia="Times New Roman" w:hAnsi="Times New Roman" w:cs="Times New Roman"/>
          <w:color w:val="000000"/>
          <w:sz w:val="25"/>
          <w:szCs w:val="25"/>
          <w:lang w:val="uk-UA"/>
        </w:rPr>
        <w:t xml:space="preserve">разі якщо на момент складання іспиту анонімне тестування з історії української державності </w:t>
      </w:r>
      <w:r w:rsidRPr="001D5B9F">
        <w:rPr>
          <w:rFonts w:ascii="Times New Roman" w:eastAsia="Times New Roman" w:hAnsi="Times New Roman" w:cs="Times New Roman"/>
          <w:color w:val="000000"/>
          <w:sz w:val="25"/>
          <w:szCs w:val="25"/>
          <w:lang w:val="uk-UA"/>
        </w:rPr>
        <w:lastRenderedPageBreak/>
        <w:t>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rsidR="000D17BC" w:rsidRPr="001D5B9F" w:rsidRDefault="00E47A9A">
      <w:pPr>
        <w:numPr>
          <w:ilvl w:val="0"/>
          <w:numId w:val="5"/>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З огляду на зазначене </w:t>
      </w:r>
      <w:proofErr w:type="spellStart"/>
      <w:r w:rsidRPr="001D5B9F">
        <w:rPr>
          <w:rFonts w:ascii="Times New Roman" w:eastAsia="Times New Roman" w:hAnsi="Times New Roman" w:cs="Times New Roman"/>
          <w:color w:val="000000"/>
          <w:sz w:val="25"/>
          <w:szCs w:val="25"/>
          <w:lang w:val="uk-UA"/>
        </w:rPr>
        <w:t>Грабчук</w:t>
      </w:r>
      <w:proofErr w:type="spellEnd"/>
      <w:r w:rsidRPr="001D5B9F">
        <w:rPr>
          <w:rFonts w:ascii="Times New Roman" w:eastAsia="Times New Roman" w:hAnsi="Times New Roman" w:cs="Times New Roman"/>
          <w:color w:val="000000"/>
          <w:sz w:val="25"/>
          <w:szCs w:val="25"/>
          <w:lang w:val="uk-UA"/>
        </w:rPr>
        <w:t xml:space="preserve"> О.В. отримав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w:t>
      </w:r>
      <w:r w:rsidR="00385A9B" w:rsidRPr="001D5B9F">
        <w:rPr>
          <w:rFonts w:ascii="Times New Roman" w:eastAsia="Times New Roman" w:hAnsi="Times New Roman" w:cs="Times New Roman"/>
          <w:color w:val="000000"/>
          <w:sz w:val="25"/>
          <w:szCs w:val="25"/>
          <w:lang w:val="uk-UA"/>
        </w:rPr>
        <w:t> </w:t>
      </w:r>
      <w:r w:rsidRPr="001D5B9F">
        <w:rPr>
          <w:rFonts w:ascii="Times New Roman" w:eastAsia="Times New Roman" w:hAnsi="Times New Roman" w:cs="Times New Roman"/>
          <w:color w:val="000000"/>
          <w:sz w:val="25"/>
          <w:szCs w:val="25"/>
          <w:lang w:val="uk-UA"/>
        </w:rPr>
        <w:t>14 вересня 2023 року № 94/зп-23.</w:t>
      </w:r>
    </w:p>
    <w:tbl>
      <w:tblPr>
        <w:tblStyle w:val="afb"/>
        <w:tblW w:w="9592" w:type="dxa"/>
        <w:tblInd w:w="0" w:type="dxa"/>
        <w:tblLayout w:type="fixed"/>
        <w:tblLook w:val="0400" w:firstRow="0" w:lastRow="0" w:firstColumn="0" w:lastColumn="0" w:noHBand="0" w:noVBand="1"/>
      </w:tblPr>
      <w:tblGrid>
        <w:gridCol w:w="2287"/>
        <w:gridCol w:w="5226"/>
        <w:gridCol w:w="653"/>
        <w:gridCol w:w="1426"/>
      </w:tblGrid>
      <w:tr w:rsidR="000D17BC" w:rsidRPr="001D5B9F">
        <w:trPr>
          <w:trHeight w:val="315"/>
        </w:trPr>
        <w:tc>
          <w:tcPr>
            <w:tcW w:w="228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b/>
                <w:color w:val="000000"/>
                <w:sz w:val="25"/>
                <w:szCs w:val="25"/>
                <w:lang w:val="uk-UA"/>
              </w:rPr>
            </w:pPr>
            <w:r w:rsidRPr="001D5B9F">
              <w:rPr>
                <w:rFonts w:ascii="Times New Roman" w:eastAsia="Times New Roman" w:hAnsi="Times New Roman" w:cs="Times New Roman"/>
                <w:b/>
                <w:color w:val="000000"/>
                <w:sz w:val="25"/>
                <w:szCs w:val="25"/>
                <w:lang w:val="uk-UA"/>
              </w:rPr>
              <w:t>Критерій</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b/>
                <w:color w:val="000000"/>
                <w:sz w:val="25"/>
                <w:szCs w:val="25"/>
                <w:lang w:val="uk-UA"/>
              </w:rPr>
            </w:pPr>
            <w:r w:rsidRPr="001D5B9F">
              <w:rPr>
                <w:rFonts w:ascii="Times New Roman" w:eastAsia="Times New Roman" w:hAnsi="Times New Roman" w:cs="Times New Roman"/>
                <w:b/>
                <w:color w:val="000000"/>
                <w:sz w:val="25"/>
                <w:szCs w:val="25"/>
                <w:lang w:val="uk-UA"/>
              </w:rPr>
              <w:t>Показник</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b/>
                <w:color w:val="000000"/>
                <w:sz w:val="25"/>
                <w:szCs w:val="25"/>
                <w:lang w:val="uk-UA"/>
              </w:rPr>
            </w:pPr>
            <w:r w:rsidRPr="001D5B9F">
              <w:rPr>
                <w:rFonts w:ascii="Times New Roman" w:eastAsia="Times New Roman" w:hAnsi="Times New Roman" w:cs="Times New Roman"/>
                <w:b/>
                <w:color w:val="000000"/>
                <w:sz w:val="25"/>
                <w:szCs w:val="25"/>
                <w:lang w:val="uk-UA"/>
              </w:rPr>
              <w:t>Бал</w:t>
            </w:r>
          </w:p>
        </w:tc>
        <w:tc>
          <w:tcPr>
            <w:tcW w:w="1426" w:type="dxa"/>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b/>
                <w:color w:val="000000"/>
                <w:sz w:val="25"/>
                <w:szCs w:val="25"/>
                <w:lang w:val="uk-UA"/>
              </w:rPr>
            </w:pPr>
            <w:r w:rsidRPr="001D5B9F">
              <w:rPr>
                <w:rFonts w:ascii="Times New Roman" w:eastAsia="Times New Roman" w:hAnsi="Times New Roman" w:cs="Times New Roman"/>
                <w:b/>
                <w:color w:val="000000"/>
                <w:sz w:val="25"/>
                <w:szCs w:val="25"/>
                <w:lang w:val="uk-UA"/>
              </w:rPr>
              <w:t>Бал за критерій</w:t>
            </w:r>
          </w:p>
        </w:tc>
      </w:tr>
      <w:tr w:rsidR="000D17BC" w:rsidRPr="001D5B9F">
        <w:trPr>
          <w:trHeight w:val="315"/>
        </w:trPr>
        <w:tc>
          <w:tcPr>
            <w:tcW w:w="228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Професійна компетентність</w:t>
            </w:r>
          </w:p>
        </w:tc>
        <w:tc>
          <w:tcPr>
            <w:tcW w:w="5226"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Когнітивні здібності</w:t>
            </w:r>
          </w:p>
        </w:tc>
        <w:tc>
          <w:tcPr>
            <w:tcW w:w="653" w:type="dxa"/>
            <w:tcBorders>
              <w:top w:val="single" w:sz="18"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49,2</w:t>
            </w:r>
          </w:p>
        </w:tc>
        <w:tc>
          <w:tcPr>
            <w:tcW w:w="1426" w:type="dxa"/>
            <w:vMerge w:val="restart"/>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362,7</w:t>
            </w:r>
          </w:p>
        </w:tc>
      </w:tr>
      <w:tr w:rsidR="000D17BC" w:rsidRPr="001D5B9F">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Знання історії української державності</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40</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226"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Знання у сфері права та спеціалізації суду</w:t>
            </w:r>
          </w:p>
        </w:tc>
        <w:tc>
          <w:tcPr>
            <w:tcW w:w="65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147</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trHeight w:val="315"/>
        </w:trPr>
        <w:tc>
          <w:tcPr>
            <w:tcW w:w="2287"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5226"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Здатність практичного застосування знань у сфері права у суді відповідного рівня та спеціалізації</w:t>
            </w:r>
          </w:p>
        </w:tc>
        <w:tc>
          <w:tcPr>
            <w:tcW w:w="653" w:type="dxa"/>
            <w:tcBorders>
              <w:top w:val="single" w:sz="6"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126,5</w:t>
            </w:r>
          </w:p>
        </w:tc>
        <w:tc>
          <w:tcPr>
            <w:tcW w:w="1426" w:type="dxa"/>
            <w:vMerge/>
            <w:tcBorders>
              <w:top w:val="single" w:sz="18" w:space="0" w:color="000000"/>
              <w:left w:val="single" w:sz="6" w:space="0" w:color="000000"/>
              <w:bottom w:val="single" w:sz="18" w:space="0" w:color="000000"/>
              <w:right w:val="single" w:sz="18"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bl>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xml:space="preserve"> тестування.</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Отже, загальна кількість балів за кваліфікаційний іспит – 362,7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xml:space="preserve"> із 400 можливих, що свідчить про підтвердження </w:t>
      </w:r>
      <w:proofErr w:type="spellStart"/>
      <w:r w:rsidRPr="001D5B9F">
        <w:rPr>
          <w:rFonts w:ascii="Times New Roman" w:eastAsia="Times New Roman" w:hAnsi="Times New Roman" w:cs="Times New Roman"/>
          <w:color w:val="000000"/>
          <w:sz w:val="25"/>
          <w:szCs w:val="25"/>
          <w:lang w:val="uk-UA"/>
        </w:rPr>
        <w:t>Грабчуком</w:t>
      </w:r>
      <w:proofErr w:type="spellEnd"/>
      <w:r w:rsidRPr="001D5B9F">
        <w:rPr>
          <w:rFonts w:ascii="Times New Roman" w:eastAsia="Times New Roman" w:hAnsi="Times New Roman" w:cs="Times New Roman"/>
          <w:color w:val="000000"/>
          <w:sz w:val="25"/>
          <w:szCs w:val="25"/>
          <w:lang w:val="uk-UA"/>
        </w:rPr>
        <w:t xml:space="preserve"> О.В. здатності здійснювати правосуддя в апеляційному загальному суді за критерієм професійної компетентності. </w:t>
      </w:r>
    </w:p>
    <w:p w:rsidR="000D17BC" w:rsidRPr="001D5B9F" w:rsidRDefault="000D17BC">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p>
    <w:p w:rsidR="000D17BC" w:rsidRPr="001D5B9F" w:rsidRDefault="00E47A9A">
      <w:pPr>
        <w:spacing w:after="0" w:line="240" w:lineRule="auto"/>
        <w:ind w:firstLine="709"/>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b/>
          <w:color w:val="000000"/>
          <w:sz w:val="25"/>
          <w:szCs w:val="25"/>
          <w:lang w:val="uk-UA"/>
        </w:rPr>
        <w:t>ІV. Проведення спеціальної перевірки. </w:t>
      </w:r>
    </w:p>
    <w:p w:rsidR="000D17BC" w:rsidRPr="001D5B9F" w:rsidRDefault="000D17BC">
      <w:pPr>
        <w:spacing w:after="0" w:line="240" w:lineRule="auto"/>
        <w:ind w:firstLine="709"/>
        <w:rPr>
          <w:rFonts w:ascii="Times New Roman" w:eastAsia="Times New Roman" w:hAnsi="Times New Roman" w:cs="Times New Roman"/>
          <w:sz w:val="25"/>
          <w:szCs w:val="25"/>
          <w:lang w:val="uk-UA"/>
        </w:rPr>
      </w:pP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bookmarkStart w:id="0" w:name="_heading=h.3mn0ijfq58ms" w:colFirst="0" w:colLast="0"/>
      <w:bookmarkEnd w:id="0"/>
      <w:r w:rsidRPr="001D5B9F">
        <w:rPr>
          <w:rFonts w:ascii="Times New Roman" w:eastAsia="Times New Roman" w:hAnsi="Times New Roman" w:cs="Times New Roman"/>
          <w:color w:val="000000"/>
          <w:sz w:val="25"/>
          <w:szCs w:val="25"/>
          <w:lang w:val="uk-UA"/>
        </w:rPr>
        <w:t xml:space="preserve">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Вищою кваліфікаційною комісією суддів України організовано проведення спеціальної перевірки стосовно </w:t>
      </w:r>
      <w:proofErr w:type="spellStart"/>
      <w:r w:rsidRPr="001D5B9F">
        <w:rPr>
          <w:rFonts w:ascii="Times New Roman" w:eastAsia="Times New Roman" w:hAnsi="Times New Roman" w:cs="Times New Roman"/>
          <w:color w:val="000000"/>
          <w:sz w:val="25"/>
          <w:szCs w:val="25"/>
          <w:lang w:val="uk-UA"/>
        </w:rPr>
        <w:t>Грабчука</w:t>
      </w:r>
      <w:proofErr w:type="spellEnd"/>
      <w:r w:rsidRPr="001D5B9F">
        <w:rPr>
          <w:rFonts w:ascii="Times New Roman" w:eastAsia="Times New Roman" w:hAnsi="Times New Roman" w:cs="Times New Roman"/>
          <w:color w:val="000000"/>
          <w:sz w:val="25"/>
          <w:szCs w:val="25"/>
          <w:lang w:val="uk-UA"/>
        </w:rPr>
        <w:t xml:space="preserve"> О.В.</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Запити про надання відомостей стосовно </w:t>
      </w:r>
      <w:proofErr w:type="spellStart"/>
      <w:r w:rsidRPr="001D5B9F">
        <w:rPr>
          <w:rFonts w:ascii="Times New Roman" w:eastAsia="Times New Roman" w:hAnsi="Times New Roman" w:cs="Times New Roman"/>
          <w:sz w:val="25"/>
          <w:szCs w:val="25"/>
          <w:lang w:val="uk-UA"/>
        </w:rPr>
        <w:t>Грабчука</w:t>
      </w:r>
      <w:proofErr w:type="spellEnd"/>
      <w:r w:rsidRPr="001D5B9F">
        <w:rPr>
          <w:rFonts w:ascii="Times New Roman" w:eastAsia="Times New Roman" w:hAnsi="Times New Roman" w:cs="Times New Roman"/>
          <w:sz w:val="25"/>
          <w:szCs w:val="25"/>
          <w:lang w:val="uk-UA"/>
        </w:rPr>
        <w:t xml:space="preserve"> О.В.</w:t>
      </w:r>
      <w:r w:rsidRPr="001D5B9F">
        <w:rPr>
          <w:rFonts w:ascii="Times New Roman" w:eastAsia="Times New Roman" w:hAnsi="Times New Roman" w:cs="Times New Roman"/>
          <w:color w:val="000000"/>
          <w:sz w:val="25"/>
          <w:szCs w:val="25"/>
          <w:lang w:val="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w:t>
      </w:r>
      <w:r w:rsidRPr="001D5B9F">
        <w:rPr>
          <w:rFonts w:ascii="Times New Roman" w:eastAsia="Times New Roman" w:hAnsi="Times New Roman" w:cs="Times New Roman"/>
          <w:color w:val="000000"/>
          <w:sz w:val="25"/>
          <w:szCs w:val="25"/>
          <w:lang w:val="uk-UA"/>
        </w:rPr>
        <w:lastRenderedPageBreak/>
        <w:t>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Комісією установлено, що під час проведення спеціальної перевірки не отримано інформації, яка може свідчити про невідповідність </w:t>
      </w:r>
      <w:proofErr w:type="spellStart"/>
      <w:r w:rsidRPr="001D5B9F">
        <w:rPr>
          <w:rFonts w:ascii="Times New Roman" w:eastAsia="Times New Roman" w:hAnsi="Times New Roman" w:cs="Times New Roman"/>
          <w:color w:val="000000"/>
          <w:sz w:val="25"/>
          <w:szCs w:val="25"/>
          <w:lang w:val="uk-UA"/>
        </w:rPr>
        <w:t>Грабчука</w:t>
      </w:r>
      <w:proofErr w:type="spellEnd"/>
      <w:r w:rsidRPr="001D5B9F">
        <w:rPr>
          <w:rFonts w:ascii="Times New Roman" w:eastAsia="Times New Roman" w:hAnsi="Times New Roman" w:cs="Times New Roman"/>
          <w:color w:val="000000"/>
          <w:sz w:val="25"/>
          <w:szCs w:val="25"/>
          <w:lang w:val="uk-UA"/>
        </w:rPr>
        <w:t xml:space="preserve"> О.В.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0D17BC" w:rsidRPr="001D5B9F" w:rsidRDefault="000D17BC">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p>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b/>
          <w:color w:val="000000"/>
          <w:sz w:val="25"/>
          <w:szCs w:val="25"/>
          <w:lang w:val="uk-UA"/>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b/>
          <w:color w:val="000000"/>
          <w:sz w:val="25"/>
          <w:szCs w:val="25"/>
          <w:lang w:val="uk-UA"/>
        </w:rPr>
        <w:tab/>
      </w:r>
    </w:p>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u w:val="single"/>
          <w:lang w:val="uk-UA"/>
        </w:rPr>
        <w:t>V-І. Стислий опис проходження другого етапу кваліфікаційного оцінювання. </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Рішенням Комісії від 17 квітня 2025 року № 89/зп-25 допущено 706 кандидатів на посади суддів апеляційних загальних судів, які успішно склали кваліфікаційний іспит, до другого етапу кваліфікаційного оцінювання «Дослідження досьє та проведення співбесіди» у межах конкурсу, оголошеного рішенням Комісії від</w:t>
      </w:r>
      <w:r w:rsidR="00385A9B" w:rsidRPr="001D5B9F">
        <w:rPr>
          <w:rFonts w:ascii="Times New Roman" w:eastAsia="Times New Roman" w:hAnsi="Times New Roman" w:cs="Times New Roman"/>
          <w:color w:val="000000"/>
          <w:sz w:val="25"/>
          <w:szCs w:val="25"/>
          <w:lang w:val="uk-UA"/>
        </w:rPr>
        <w:t> </w:t>
      </w:r>
      <w:r w:rsidRPr="001D5B9F">
        <w:rPr>
          <w:rFonts w:ascii="Times New Roman" w:eastAsia="Times New Roman" w:hAnsi="Times New Roman" w:cs="Times New Roman"/>
          <w:color w:val="000000"/>
          <w:sz w:val="25"/>
          <w:szCs w:val="25"/>
          <w:lang w:val="uk-UA"/>
        </w:rPr>
        <w:t xml:space="preserve">14 вересня 2023 року № 94/зп-23 (зі змінами), зокрема </w:t>
      </w:r>
      <w:proofErr w:type="spellStart"/>
      <w:r w:rsidRPr="001D5B9F">
        <w:rPr>
          <w:rFonts w:ascii="Times New Roman" w:eastAsia="Times New Roman" w:hAnsi="Times New Roman" w:cs="Times New Roman"/>
          <w:color w:val="000000"/>
          <w:sz w:val="25"/>
          <w:szCs w:val="25"/>
          <w:lang w:val="uk-UA"/>
        </w:rPr>
        <w:t>Грабчука</w:t>
      </w:r>
      <w:proofErr w:type="spellEnd"/>
      <w:r w:rsidRPr="001D5B9F">
        <w:rPr>
          <w:rFonts w:ascii="Times New Roman" w:eastAsia="Times New Roman" w:hAnsi="Times New Roman" w:cs="Times New Roman"/>
          <w:color w:val="000000"/>
          <w:sz w:val="25"/>
          <w:szCs w:val="25"/>
          <w:lang w:val="uk-UA"/>
        </w:rPr>
        <w:t xml:space="preserve"> О.В.</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Згідно з рішенням Комісії від 28 квітня 2025 № 92/зп-25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w:t>
      </w:r>
      <w:r w:rsidR="00385A9B" w:rsidRPr="001D5B9F">
        <w:rPr>
          <w:rFonts w:ascii="Times New Roman" w:eastAsia="Times New Roman" w:hAnsi="Times New Roman" w:cs="Times New Roman"/>
          <w:color w:val="000000"/>
          <w:sz w:val="25"/>
          <w:szCs w:val="25"/>
          <w:lang w:val="uk-UA"/>
        </w:rPr>
        <w:t xml:space="preserve"> Комісії </w:t>
      </w:r>
      <w:r w:rsidRPr="001D5B9F">
        <w:rPr>
          <w:rFonts w:ascii="Times New Roman" w:eastAsia="Times New Roman" w:hAnsi="Times New Roman" w:cs="Times New Roman"/>
          <w:color w:val="000000"/>
          <w:sz w:val="25"/>
          <w:szCs w:val="25"/>
          <w:lang w:val="uk-UA"/>
        </w:rPr>
        <w:t>№</w:t>
      </w:r>
      <w:r w:rsidR="00385A9B" w:rsidRPr="001D5B9F">
        <w:rPr>
          <w:rFonts w:ascii="Times New Roman" w:eastAsia="Times New Roman" w:hAnsi="Times New Roman" w:cs="Times New Roman"/>
          <w:color w:val="000000"/>
          <w:sz w:val="25"/>
          <w:szCs w:val="25"/>
          <w:lang w:val="uk-UA"/>
        </w:rPr>
        <w:t> </w:t>
      </w:r>
      <w:r w:rsidRPr="001D5B9F">
        <w:rPr>
          <w:rFonts w:ascii="Times New Roman" w:eastAsia="Times New Roman" w:hAnsi="Times New Roman" w:cs="Times New Roman"/>
          <w:color w:val="000000"/>
          <w:sz w:val="25"/>
          <w:szCs w:val="25"/>
          <w:lang w:val="uk-UA"/>
        </w:rPr>
        <w:t>3.</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До Комісії надійшла заява </w:t>
      </w:r>
      <w:proofErr w:type="spellStart"/>
      <w:r w:rsidRPr="001D5B9F">
        <w:rPr>
          <w:rFonts w:ascii="Times New Roman" w:eastAsia="Times New Roman" w:hAnsi="Times New Roman" w:cs="Times New Roman"/>
          <w:color w:val="000000"/>
          <w:sz w:val="25"/>
          <w:szCs w:val="25"/>
          <w:lang w:val="uk-UA"/>
        </w:rPr>
        <w:t>Грабчука</w:t>
      </w:r>
      <w:proofErr w:type="spellEnd"/>
      <w:r w:rsidRPr="001D5B9F">
        <w:rPr>
          <w:rFonts w:ascii="Times New Roman" w:eastAsia="Times New Roman" w:hAnsi="Times New Roman" w:cs="Times New Roman"/>
          <w:color w:val="000000"/>
          <w:sz w:val="25"/>
          <w:szCs w:val="25"/>
          <w:lang w:val="uk-UA"/>
        </w:rPr>
        <w:t xml:space="preserve"> О.В. про те, що він має намір претендувати на посаду судді Житомирського апеляційного суду.</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Відповідно до протоколу повторного розподілу між членами Комісії від 21 травня 2025 року доповідачем у справі кандидата на посаду судді апеляційного загального суду </w:t>
      </w:r>
      <w:proofErr w:type="spellStart"/>
      <w:r w:rsidR="00385A9B" w:rsidRPr="001D5B9F">
        <w:rPr>
          <w:rFonts w:ascii="Times New Roman" w:eastAsia="Times New Roman" w:hAnsi="Times New Roman" w:cs="Times New Roman"/>
          <w:color w:val="000000"/>
          <w:sz w:val="25"/>
          <w:szCs w:val="25"/>
          <w:lang w:val="uk-UA"/>
        </w:rPr>
        <w:t>Грабчука</w:t>
      </w:r>
      <w:proofErr w:type="spellEnd"/>
      <w:r w:rsidR="00385A9B" w:rsidRPr="001D5B9F">
        <w:rPr>
          <w:rFonts w:ascii="Times New Roman" w:eastAsia="Times New Roman" w:hAnsi="Times New Roman" w:cs="Times New Roman"/>
          <w:color w:val="000000"/>
          <w:sz w:val="25"/>
          <w:szCs w:val="25"/>
          <w:lang w:val="uk-UA"/>
        </w:rPr>
        <w:t xml:space="preserve"> О.В</w:t>
      </w:r>
      <w:r w:rsidRPr="001D5B9F">
        <w:rPr>
          <w:rFonts w:ascii="Times New Roman" w:eastAsia="Times New Roman" w:hAnsi="Times New Roman" w:cs="Times New Roman"/>
          <w:color w:val="000000"/>
          <w:sz w:val="25"/>
          <w:szCs w:val="25"/>
          <w:lang w:val="uk-UA"/>
        </w:rPr>
        <w:t>. визначено члена Комісії Пасічника А.В.</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Комісія звернулась до кандидатів на посади суддів в апеляційних загальних судах з пропозицією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Водночас увагу кандидатів було </w:t>
      </w:r>
      <w:proofErr w:type="spellStart"/>
      <w:r w:rsidRPr="001D5B9F">
        <w:rPr>
          <w:rFonts w:ascii="Times New Roman" w:eastAsia="Times New Roman" w:hAnsi="Times New Roman" w:cs="Times New Roman"/>
          <w:color w:val="000000"/>
          <w:sz w:val="25"/>
          <w:szCs w:val="25"/>
          <w:lang w:val="uk-UA"/>
        </w:rPr>
        <w:t>звернуто</w:t>
      </w:r>
      <w:proofErr w:type="spellEnd"/>
      <w:r w:rsidRPr="001D5B9F">
        <w:rPr>
          <w:rFonts w:ascii="Times New Roman" w:eastAsia="Times New Roman" w:hAnsi="Times New Roman" w:cs="Times New Roman"/>
          <w:color w:val="000000"/>
          <w:sz w:val="25"/>
          <w:szCs w:val="25"/>
          <w:lang w:val="uk-UA"/>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ефективна взаємодія – 12,5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стійкість мотивації – 12,5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xml:space="preserve">, емоційна стійкість – 12,5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bookmarkStart w:id="1" w:name="_heading=h.qd9rcb2s0km" w:colFirst="0" w:colLast="0"/>
      <w:bookmarkEnd w:id="1"/>
      <w:r w:rsidRPr="001D5B9F">
        <w:rPr>
          <w:rFonts w:ascii="Times New Roman" w:eastAsia="Times New Roman" w:hAnsi="Times New Roman" w:cs="Times New Roman"/>
          <w:color w:val="000000"/>
          <w:sz w:val="25"/>
          <w:szCs w:val="25"/>
          <w:lang w:val="uk-UA"/>
        </w:rPr>
        <w:t>До Комісії 0</w:t>
      </w:r>
      <w:r w:rsidRPr="001D5B9F">
        <w:rPr>
          <w:rFonts w:ascii="Times New Roman" w:eastAsia="Times New Roman" w:hAnsi="Times New Roman" w:cs="Times New Roman"/>
          <w:sz w:val="25"/>
          <w:szCs w:val="25"/>
          <w:lang w:val="uk-UA"/>
        </w:rPr>
        <w:t>3</w:t>
      </w:r>
      <w:r w:rsidRPr="001D5B9F">
        <w:rPr>
          <w:rFonts w:ascii="Times New Roman" w:eastAsia="Times New Roman" w:hAnsi="Times New Roman" w:cs="Times New Roman"/>
          <w:color w:val="000000"/>
          <w:sz w:val="25"/>
          <w:szCs w:val="25"/>
          <w:lang w:val="uk-UA"/>
        </w:rPr>
        <w:t xml:space="preserve"> червня 2025 року надійшли пояснення та докази кандидата </w:t>
      </w:r>
      <w:proofErr w:type="spellStart"/>
      <w:r w:rsidRPr="001D5B9F">
        <w:rPr>
          <w:rFonts w:ascii="Times New Roman" w:eastAsia="Times New Roman" w:hAnsi="Times New Roman" w:cs="Times New Roman"/>
          <w:color w:val="000000"/>
          <w:sz w:val="25"/>
          <w:szCs w:val="25"/>
          <w:lang w:val="uk-UA"/>
        </w:rPr>
        <w:t>Грабчука</w:t>
      </w:r>
      <w:proofErr w:type="spellEnd"/>
      <w:r w:rsidRPr="001D5B9F">
        <w:rPr>
          <w:rFonts w:ascii="Times New Roman" w:eastAsia="Times New Roman" w:hAnsi="Times New Roman" w:cs="Times New Roman"/>
          <w:color w:val="000000"/>
          <w:sz w:val="25"/>
          <w:szCs w:val="25"/>
          <w:lang w:val="uk-UA"/>
        </w:rPr>
        <w:t xml:space="preserve"> О.В. У своїх поясненнях кандидат навів інформацію, яка, на його 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До Комісії 11 серпня 2025 року надійшов висновок Громадської ради доброчесності (далі – ГРД) про невідповідність </w:t>
      </w:r>
      <w:proofErr w:type="spellStart"/>
      <w:r w:rsidRPr="001D5B9F">
        <w:rPr>
          <w:rFonts w:ascii="Times New Roman" w:eastAsia="Times New Roman" w:hAnsi="Times New Roman" w:cs="Times New Roman"/>
          <w:color w:val="000000"/>
          <w:sz w:val="25"/>
          <w:szCs w:val="25"/>
          <w:lang w:val="uk-UA"/>
        </w:rPr>
        <w:t>Грабчука</w:t>
      </w:r>
      <w:proofErr w:type="spellEnd"/>
      <w:r w:rsidRPr="001D5B9F">
        <w:rPr>
          <w:rFonts w:ascii="Times New Roman" w:eastAsia="Times New Roman" w:hAnsi="Times New Roman" w:cs="Times New Roman"/>
          <w:color w:val="000000"/>
          <w:sz w:val="25"/>
          <w:szCs w:val="25"/>
          <w:lang w:val="uk-UA"/>
        </w:rPr>
        <w:t xml:space="preserve"> О.В. критеріям доброчесності та професійної етики</w:t>
      </w:r>
      <w:r w:rsidRPr="001D5B9F">
        <w:rPr>
          <w:rFonts w:ascii="Times New Roman" w:eastAsia="Times New Roman" w:hAnsi="Times New Roman" w:cs="Times New Roman"/>
          <w:b/>
          <w:color w:val="000000"/>
          <w:sz w:val="25"/>
          <w:szCs w:val="25"/>
          <w:lang w:val="uk-UA"/>
        </w:rPr>
        <w:t>.</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lastRenderedPageBreak/>
        <w:t>Так, ГРД зазначає, що дружина кандидата 10 вересня 2022 року набула у власність автомобіль «</w:t>
      </w:r>
      <w:proofErr w:type="spellStart"/>
      <w:r w:rsidRPr="001D5B9F">
        <w:rPr>
          <w:rFonts w:ascii="Times New Roman" w:eastAsia="Times New Roman" w:hAnsi="Times New Roman" w:cs="Times New Roman"/>
          <w:color w:val="000000"/>
          <w:sz w:val="25"/>
          <w:szCs w:val="25"/>
          <w:lang w:val="uk-UA"/>
        </w:rPr>
        <w:t>Nissan</w:t>
      </w:r>
      <w:proofErr w:type="spellEnd"/>
      <w:r w:rsidRPr="001D5B9F">
        <w:rPr>
          <w:rFonts w:ascii="Times New Roman" w:eastAsia="Times New Roman" w:hAnsi="Times New Roman" w:cs="Times New Roman"/>
          <w:color w:val="000000"/>
          <w:sz w:val="25"/>
          <w:szCs w:val="25"/>
          <w:lang w:val="uk-UA"/>
        </w:rPr>
        <w:t xml:space="preserve"> </w:t>
      </w:r>
      <w:proofErr w:type="spellStart"/>
      <w:r w:rsidRPr="001D5B9F">
        <w:rPr>
          <w:rFonts w:ascii="Times New Roman" w:eastAsia="Times New Roman" w:hAnsi="Times New Roman" w:cs="Times New Roman"/>
          <w:color w:val="000000"/>
          <w:sz w:val="25"/>
          <w:szCs w:val="25"/>
          <w:lang w:val="uk-UA"/>
        </w:rPr>
        <w:t>Rogue</w:t>
      </w:r>
      <w:proofErr w:type="spellEnd"/>
      <w:r w:rsidRPr="001D5B9F">
        <w:rPr>
          <w:rFonts w:ascii="Times New Roman" w:eastAsia="Times New Roman" w:hAnsi="Times New Roman" w:cs="Times New Roman"/>
          <w:color w:val="000000"/>
          <w:sz w:val="25"/>
          <w:szCs w:val="25"/>
          <w:lang w:val="uk-UA"/>
        </w:rPr>
        <w:t>» 2018 року випуску за 3 000 грн. Зазначене відображено у п. 2 Розділу 6 декларації особи, уповноваженої на виконання функцій держави або місцевого самоврядування (далі – декларація)</w:t>
      </w:r>
      <w:r w:rsidR="00385A9B" w:rsidRPr="001D5B9F">
        <w:rPr>
          <w:rFonts w:ascii="Times New Roman" w:eastAsia="Times New Roman" w:hAnsi="Times New Roman" w:cs="Times New Roman"/>
          <w:color w:val="000000"/>
          <w:sz w:val="25"/>
          <w:szCs w:val="25"/>
          <w:lang w:val="uk-UA"/>
        </w:rPr>
        <w:t>,</w:t>
      </w:r>
      <w:r w:rsidRPr="001D5B9F">
        <w:rPr>
          <w:rFonts w:ascii="Times New Roman" w:eastAsia="Times New Roman" w:hAnsi="Times New Roman" w:cs="Times New Roman"/>
          <w:color w:val="000000"/>
          <w:sz w:val="25"/>
          <w:szCs w:val="25"/>
          <w:lang w:val="uk-UA"/>
        </w:rPr>
        <w:t xml:space="preserve"> за 2022 рік. </w:t>
      </w:r>
      <w:r w:rsidR="00385A9B" w:rsidRPr="001D5B9F">
        <w:rPr>
          <w:rFonts w:ascii="Times New Roman" w:eastAsia="Times New Roman" w:hAnsi="Times New Roman" w:cs="Times New Roman"/>
          <w:color w:val="000000"/>
          <w:sz w:val="25"/>
          <w:szCs w:val="25"/>
          <w:lang w:val="uk-UA"/>
        </w:rPr>
        <w:t>Однак</w:t>
      </w:r>
      <w:r w:rsidRPr="001D5B9F">
        <w:rPr>
          <w:rFonts w:ascii="Times New Roman" w:eastAsia="Times New Roman" w:hAnsi="Times New Roman" w:cs="Times New Roman"/>
          <w:color w:val="000000"/>
          <w:sz w:val="25"/>
          <w:szCs w:val="25"/>
          <w:lang w:val="uk-UA"/>
        </w:rPr>
        <w:t xml:space="preserve"> середня ринкова вартість такого автомобіля становить 15 000 доларів США (607 500 грн) відповідно до інформації, що міститься у відкритих джерелах.</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Кандидат пояснив, що вказаний автомобіль його дружиною було придбано у її давнього знайомого, з яким вона підтримує дружні відносини зі студентських років. Як повідомив кандидат, спершу автомобіль пропонувався його дружині </w:t>
      </w:r>
      <w:r w:rsidR="00385A9B" w:rsidRPr="001D5B9F">
        <w:rPr>
          <w:rFonts w:ascii="Times New Roman" w:eastAsia="Times New Roman" w:hAnsi="Times New Roman" w:cs="Times New Roman"/>
          <w:color w:val="000000"/>
          <w:sz w:val="25"/>
          <w:szCs w:val="25"/>
          <w:lang w:val="uk-UA"/>
        </w:rPr>
        <w:t>в</w:t>
      </w:r>
      <w:r w:rsidRPr="001D5B9F">
        <w:rPr>
          <w:rFonts w:ascii="Times New Roman" w:eastAsia="Times New Roman" w:hAnsi="Times New Roman" w:cs="Times New Roman"/>
          <w:color w:val="000000"/>
          <w:sz w:val="25"/>
          <w:szCs w:val="25"/>
          <w:lang w:val="uk-UA"/>
        </w:rPr>
        <w:t xml:space="preserve"> безоплатне користування з можливістю викупу після заве</w:t>
      </w:r>
      <w:r w:rsidR="00385A9B" w:rsidRPr="001D5B9F">
        <w:rPr>
          <w:rFonts w:ascii="Times New Roman" w:eastAsia="Times New Roman" w:hAnsi="Times New Roman" w:cs="Times New Roman"/>
          <w:color w:val="000000"/>
          <w:sz w:val="25"/>
          <w:szCs w:val="25"/>
          <w:lang w:val="uk-UA"/>
        </w:rPr>
        <w:t>ршення військового стану, однак</w:t>
      </w:r>
      <w:r w:rsidRPr="001D5B9F">
        <w:rPr>
          <w:rFonts w:ascii="Times New Roman" w:eastAsia="Times New Roman" w:hAnsi="Times New Roman" w:cs="Times New Roman"/>
          <w:color w:val="000000"/>
          <w:sz w:val="25"/>
          <w:szCs w:val="25"/>
          <w:lang w:val="uk-UA"/>
        </w:rPr>
        <w:t xml:space="preserve"> остання наполягла на перереєстрації автом</w:t>
      </w:r>
      <w:r w:rsidR="00385A9B" w:rsidRPr="001D5B9F">
        <w:rPr>
          <w:rFonts w:ascii="Times New Roman" w:eastAsia="Times New Roman" w:hAnsi="Times New Roman" w:cs="Times New Roman"/>
          <w:color w:val="000000"/>
          <w:sz w:val="25"/>
          <w:szCs w:val="25"/>
          <w:lang w:val="uk-UA"/>
        </w:rPr>
        <w:t>обіля та сплаті державного мита</w:t>
      </w:r>
      <w:r w:rsidRPr="001D5B9F">
        <w:rPr>
          <w:rFonts w:ascii="Times New Roman" w:eastAsia="Times New Roman" w:hAnsi="Times New Roman" w:cs="Times New Roman"/>
          <w:color w:val="000000"/>
          <w:sz w:val="25"/>
          <w:szCs w:val="25"/>
          <w:lang w:val="uk-UA"/>
        </w:rPr>
        <w:t xml:space="preserve"> з подальшим вирішенням питання щодо</w:t>
      </w:r>
      <w:r w:rsidR="00385A9B" w:rsidRPr="001D5B9F">
        <w:rPr>
          <w:rFonts w:ascii="Times New Roman" w:eastAsia="Times New Roman" w:hAnsi="Times New Roman" w:cs="Times New Roman"/>
          <w:color w:val="000000"/>
          <w:sz w:val="25"/>
          <w:szCs w:val="25"/>
          <w:lang w:val="uk-UA"/>
        </w:rPr>
        <w:t xml:space="preserve"> виплати повної вартості авто після завершення</w:t>
      </w:r>
      <w:r w:rsidRPr="001D5B9F">
        <w:rPr>
          <w:rFonts w:ascii="Times New Roman" w:eastAsia="Times New Roman" w:hAnsi="Times New Roman" w:cs="Times New Roman"/>
          <w:color w:val="000000"/>
          <w:sz w:val="25"/>
          <w:szCs w:val="25"/>
          <w:lang w:val="uk-UA"/>
        </w:rPr>
        <w:t xml:space="preserve"> військового стану.</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8"/>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ГРД також зазначає, що кандидатом у період 2022</w:t>
      </w:r>
      <w:r w:rsidR="00385A9B" w:rsidRPr="001D5B9F">
        <w:rPr>
          <w:rFonts w:ascii="Times New Roman" w:eastAsia="Times New Roman" w:hAnsi="Times New Roman" w:cs="Times New Roman"/>
          <w:color w:val="000000"/>
          <w:sz w:val="25"/>
          <w:szCs w:val="25"/>
          <w:lang w:val="uk-UA"/>
        </w:rPr>
        <w:t>–</w:t>
      </w:r>
      <w:r w:rsidRPr="001D5B9F">
        <w:rPr>
          <w:rFonts w:ascii="Times New Roman" w:eastAsia="Times New Roman" w:hAnsi="Times New Roman" w:cs="Times New Roman"/>
          <w:color w:val="000000"/>
          <w:sz w:val="25"/>
          <w:szCs w:val="25"/>
          <w:lang w:val="uk-UA"/>
        </w:rPr>
        <w:t>2024 рок</w:t>
      </w:r>
      <w:r w:rsidR="00385A9B" w:rsidRPr="001D5B9F">
        <w:rPr>
          <w:rFonts w:ascii="Times New Roman" w:eastAsia="Times New Roman" w:hAnsi="Times New Roman" w:cs="Times New Roman"/>
          <w:color w:val="000000"/>
          <w:sz w:val="25"/>
          <w:szCs w:val="25"/>
          <w:lang w:val="uk-UA"/>
        </w:rPr>
        <w:t>ів</w:t>
      </w:r>
      <w:r w:rsidRPr="001D5B9F">
        <w:rPr>
          <w:rFonts w:ascii="Times New Roman" w:eastAsia="Times New Roman" w:hAnsi="Times New Roman" w:cs="Times New Roman"/>
          <w:color w:val="000000"/>
          <w:sz w:val="25"/>
          <w:szCs w:val="25"/>
          <w:lang w:val="uk-UA"/>
        </w:rPr>
        <w:t xml:space="preserve"> не було задекларовано нерухомість, </w:t>
      </w:r>
      <w:r w:rsidR="00385A9B" w:rsidRPr="001D5B9F">
        <w:rPr>
          <w:rFonts w:ascii="Times New Roman" w:eastAsia="Times New Roman" w:hAnsi="Times New Roman" w:cs="Times New Roman"/>
          <w:color w:val="000000"/>
          <w:sz w:val="25"/>
          <w:szCs w:val="25"/>
          <w:lang w:val="uk-UA"/>
        </w:rPr>
        <w:t>розташовану</w:t>
      </w:r>
      <w:r w:rsidRPr="001D5B9F">
        <w:rPr>
          <w:rFonts w:ascii="Times New Roman" w:eastAsia="Times New Roman" w:hAnsi="Times New Roman" w:cs="Times New Roman"/>
          <w:color w:val="000000"/>
          <w:sz w:val="25"/>
          <w:szCs w:val="25"/>
          <w:lang w:val="uk-UA"/>
        </w:rPr>
        <w:t xml:space="preserve"> за місцем </w:t>
      </w:r>
      <w:r w:rsidR="00385A9B" w:rsidRPr="001D5B9F">
        <w:rPr>
          <w:rFonts w:ascii="Times New Roman" w:eastAsia="Times New Roman" w:hAnsi="Times New Roman" w:cs="Times New Roman"/>
          <w:color w:val="000000"/>
          <w:sz w:val="25"/>
          <w:szCs w:val="25"/>
          <w:lang w:val="uk-UA"/>
        </w:rPr>
        <w:t>здійсненн</w:t>
      </w:r>
      <w:r w:rsidRPr="001D5B9F">
        <w:rPr>
          <w:rFonts w:ascii="Times New Roman" w:eastAsia="Times New Roman" w:hAnsi="Times New Roman" w:cs="Times New Roman"/>
          <w:color w:val="000000"/>
          <w:sz w:val="25"/>
          <w:szCs w:val="25"/>
          <w:lang w:val="uk-UA"/>
        </w:rPr>
        <w:t>я адвокатської діяльності.</w:t>
      </w:r>
    </w:p>
    <w:p w:rsidR="000D17BC" w:rsidRPr="001D5B9F" w:rsidRDefault="00385A9B">
      <w:pPr>
        <w:numPr>
          <w:ilvl w:val="0"/>
          <w:numId w:val="5"/>
        </w:numPr>
        <w:pBdr>
          <w:top w:val="nil"/>
          <w:left w:val="nil"/>
          <w:bottom w:val="nil"/>
          <w:right w:val="nil"/>
          <w:between w:val="nil"/>
        </w:pBdr>
        <w:shd w:val="clear" w:color="auto" w:fill="FFFFFF"/>
        <w:spacing w:after="0" w:line="240" w:lineRule="auto"/>
        <w:ind w:left="0" w:firstLine="708"/>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У</w:t>
      </w:r>
      <w:r w:rsidR="00E47A9A" w:rsidRPr="001D5B9F">
        <w:rPr>
          <w:rFonts w:ascii="Times New Roman" w:eastAsia="Times New Roman" w:hAnsi="Times New Roman" w:cs="Times New Roman"/>
          <w:color w:val="000000"/>
          <w:sz w:val="25"/>
          <w:szCs w:val="25"/>
          <w:lang w:val="uk-UA"/>
        </w:rPr>
        <w:t>казані обставини кандидат пояснив особистою помилкою при пода</w:t>
      </w:r>
      <w:r w:rsidRPr="001D5B9F">
        <w:rPr>
          <w:rFonts w:ascii="Times New Roman" w:eastAsia="Times New Roman" w:hAnsi="Times New Roman" w:cs="Times New Roman"/>
          <w:color w:val="000000"/>
          <w:sz w:val="25"/>
          <w:szCs w:val="25"/>
          <w:lang w:val="uk-UA"/>
        </w:rPr>
        <w:t>нн</w:t>
      </w:r>
      <w:r w:rsidR="00E47A9A" w:rsidRPr="001D5B9F">
        <w:rPr>
          <w:rFonts w:ascii="Times New Roman" w:eastAsia="Times New Roman" w:hAnsi="Times New Roman" w:cs="Times New Roman"/>
          <w:color w:val="000000"/>
          <w:sz w:val="25"/>
          <w:szCs w:val="25"/>
          <w:lang w:val="uk-UA"/>
        </w:rPr>
        <w:t>і декларацій за 2022</w:t>
      </w:r>
      <w:r w:rsidRPr="001D5B9F">
        <w:rPr>
          <w:rFonts w:ascii="Times New Roman" w:eastAsia="Times New Roman" w:hAnsi="Times New Roman" w:cs="Times New Roman"/>
          <w:color w:val="000000"/>
          <w:sz w:val="25"/>
          <w:szCs w:val="25"/>
          <w:lang w:val="uk-UA"/>
        </w:rPr>
        <w:t>–</w:t>
      </w:r>
      <w:r w:rsidR="00E47A9A" w:rsidRPr="001D5B9F">
        <w:rPr>
          <w:rFonts w:ascii="Times New Roman" w:eastAsia="Times New Roman" w:hAnsi="Times New Roman" w:cs="Times New Roman"/>
          <w:color w:val="000000"/>
          <w:sz w:val="25"/>
          <w:szCs w:val="25"/>
          <w:lang w:val="uk-UA"/>
        </w:rPr>
        <w:t>2024 роки.</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8"/>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22 листопада 2018 року кандидат набув у власність автомобіль «</w:t>
      </w:r>
      <w:proofErr w:type="spellStart"/>
      <w:r w:rsidRPr="001D5B9F">
        <w:rPr>
          <w:rFonts w:ascii="Times New Roman" w:eastAsia="Times New Roman" w:hAnsi="Times New Roman" w:cs="Times New Roman"/>
          <w:color w:val="000000"/>
          <w:sz w:val="25"/>
          <w:szCs w:val="25"/>
          <w:lang w:val="uk-UA"/>
        </w:rPr>
        <w:t>Mitsubishi</w:t>
      </w:r>
      <w:proofErr w:type="spellEnd"/>
      <w:r w:rsidRPr="001D5B9F">
        <w:rPr>
          <w:rFonts w:ascii="Times New Roman" w:eastAsia="Times New Roman" w:hAnsi="Times New Roman" w:cs="Times New Roman"/>
          <w:color w:val="000000"/>
          <w:sz w:val="25"/>
          <w:szCs w:val="25"/>
          <w:lang w:val="uk-UA"/>
        </w:rPr>
        <w:t xml:space="preserve"> </w:t>
      </w:r>
      <w:proofErr w:type="spellStart"/>
      <w:r w:rsidRPr="001D5B9F">
        <w:rPr>
          <w:rFonts w:ascii="Times New Roman" w:eastAsia="Times New Roman" w:hAnsi="Times New Roman" w:cs="Times New Roman"/>
          <w:color w:val="000000"/>
          <w:sz w:val="25"/>
          <w:szCs w:val="25"/>
          <w:lang w:val="uk-UA"/>
        </w:rPr>
        <w:t>Outlander</w:t>
      </w:r>
      <w:proofErr w:type="spellEnd"/>
      <w:r w:rsidRPr="001D5B9F">
        <w:rPr>
          <w:rFonts w:ascii="Times New Roman" w:eastAsia="Times New Roman" w:hAnsi="Times New Roman" w:cs="Times New Roman"/>
          <w:color w:val="000000"/>
          <w:sz w:val="25"/>
          <w:szCs w:val="25"/>
          <w:lang w:val="uk-UA"/>
        </w:rPr>
        <w:t xml:space="preserve">» 2007 року випуску за 70 000 грн, що відображено </w:t>
      </w:r>
      <w:r w:rsidR="00385A9B" w:rsidRPr="001D5B9F">
        <w:rPr>
          <w:rFonts w:ascii="Times New Roman" w:eastAsia="Times New Roman" w:hAnsi="Times New Roman" w:cs="Times New Roman"/>
          <w:color w:val="000000"/>
          <w:sz w:val="25"/>
          <w:szCs w:val="25"/>
          <w:lang w:val="uk-UA"/>
        </w:rPr>
        <w:t>в</w:t>
      </w:r>
      <w:r w:rsidRPr="001D5B9F">
        <w:rPr>
          <w:rFonts w:ascii="Times New Roman" w:eastAsia="Times New Roman" w:hAnsi="Times New Roman" w:cs="Times New Roman"/>
          <w:color w:val="000000"/>
          <w:sz w:val="25"/>
          <w:szCs w:val="25"/>
          <w:lang w:val="uk-UA"/>
        </w:rPr>
        <w:t xml:space="preserve"> декларації за 2022 рік. </w:t>
      </w:r>
      <w:r w:rsidR="00385A9B" w:rsidRPr="001D5B9F">
        <w:rPr>
          <w:rFonts w:ascii="Times New Roman" w:eastAsia="Times New Roman" w:hAnsi="Times New Roman" w:cs="Times New Roman"/>
          <w:color w:val="000000"/>
          <w:sz w:val="25"/>
          <w:szCs w:val="25"/>
          <w:lang w:val="uk-UA"/>
        </w:rPr>
        <w:t xml:space="preserve">Надалі </w:t>
      </w:r>
      <w:r w:rsidRPr="001D5B9F">
        <w:rPr>
          <w:rFonts w:ascii="Times New Roman" w:eastAsia="Times New Roman" w:hAnsi="Times New Roman" w:cs="Times New Roman"/>
          <w:color w:val="000000"/>
          <w:sz w:val="25"/>
          <w:szCs w:val="25"/>
          <w:lang w:val="uk-UA"/>
        </w:rPr>
        <w:t xml:space="preserve">вказаний автомобіль було відчужено за 150 000 грн. ГРД повідомляє, що відповідно до інформації з відкритих джерел середня ринкова вартість такого автомобіля </w:t>
      </w:r>
      <w:r w:rsidR="00385A9B" w:rsidRPr="001D5B9F">
        <w:rPr>
          <w:rFonts w:ascii="Times New Roman" w:eastAsia="Times New Roman" w:hAnsi="Times New Roman" w:cs="Times New Roman"/>
          <w:color w:val="000000"/>
          <w:sz w:val="25"/>
          <w:szCs w:val="25"/>
          <w:lang w:val="uk-UA"/>
        </w:rPr>
        <w:t>у</w:t>
      </w:r>
      <w:r w:rsidRPr="001D5B9F">
        <w:rPr>
          <w:rFonts w:ascii="Times New Roman" w:eastAsia="Times New Roman" w:hAnsi="Times New Roman" w:cs="Times New Roman"/>
          <w:color w:val="000000"/>
          <w:sz w:val="25"/>
          <w:szCs w:val="25"/>
          <w:lang w:val="uk-UA"/>
        </w:rPr>
        <w:t xml:space="preserve"> 2025 р</w:t>
      </w:r>
      <w:r w:rsidR="00385A9B" w:rsidRPr="001D5B9F">
        <w:rPr>
          <w:rFonts w:ascii="Times New Roman" w:eastAsia="Times New Roman" w:hAnsi="Times New Roman" w:cs="Times New Roman"/>
          <w:color w:val="000000"/>
          <w:sz w:val="25"/>
          <w:szCs w:val="25"/>
          <w:lang w:val="uk-UA"/>
        </w:rPr>
        <w:t xml:space="preserve">оці </w:t>
      </w:r>
      <w:r w:rsidRPr="001D5B9F">
        <w:rPr>
          <w:rFonts w:ascii="Times New Roman" w:eastAsia="Times New Roman" w:hAnsi="Times New Roman" w:cs="Times New Roman"/>
          <w:color w:val="000000"/>
          <w:sz w:val="25"/>
          <w:szCs w:val="25"/>
          <w:lang w:val="uk-UA"/>
        </w:rPr>
        <w:t>становить близько 7 000 доларів США.</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Кандидату було забезпечено можливість ознайомитись із досьє кандидата на посаду судді.</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Співбесіду з </w:t>
      </w:r>
      <w:proofErr w:type="spellStart"/>
      <w:r w:rsidRPr="001D5B9F">
        <w:rPr>
          <w:rFonts w:ascii="Times New Roman" w:eastAsia="Times New Roman" w:hAnsi="Times New Roman" w:cs="Times New Roman"/>
          <w:color w:val="000000"/>
          <w:sz w:val="25"/>
          <w:szCs w:val="25"/>
          <w:lang w:val="uk-UA"/>
        </w:rPr>
        <w:t>Грабчуком</w:t>
      </w:r>
      <w:proofErr w:type="spellEnd"/>
      <w:r w:rsidRPr="001D5B9F">
        <w:rPr>
          <w:rFonts w:ascii="Times New Roman" w:eastAsia="Times New Roman" w:hAnsi="Times New Roman" w:cs="Times New Roman"/>
          <w:color w:val="000000"/>
          <w:sz w:val="25"/>
          <w:szCs w:val="25"/>
          <w:lang w:val="uk-UA"/>
        </w:rPr>
        <w:t xml:space="preserve"> О.В. проведено 14 серпня 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1D5B9F">
        <w:rPr>
          <w:rFonts w:ascii="Times New Roman" w:eastAsia="Times New Roman" w:hAnsi="Times New Roman" w:cs="Times New Roman"/>
          <w:color w:val="000000"/>
          <w:sz w:val="25"/>
          <w:szCs w:val="25"/>
          <w:lang w:val="uk-UA"/>
        </w:rPr>
        <w:t>неточностей</w:t>
      </w:r>
      <w:proofErr w:type="spellEnd"/>
      <w:r w:rsidRPr="001D5B9F">
        <w:rPr>
          <w:rFonts w:ascii="Times New Roman" w:eastAsia="Times New Roman" w:hAnsi="Times New Roman" w:cs="Times New Roman"/>
          <w:color w:val="000000"/>
          <w:sz w:val="25"/>
          <w:szCs w:val="25"/>
          <w:lang w:val="uk-UA"/>
        </w:rPr>
        <w:t xml:space="preserve"> чи неповноти відомостей за результатами дослідження досьє. </w:t>
      </w:r>
    </w:p>
    <w:p w:rsidR="000D17BC" w:rsidRPr="001D5B9F" w:rsidRDefault="00E47A9A">
      <w:pPr>
        <w:numPr>
          <w:ilvl w:val="0"/>
          <w:numId w:val="5"/>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0D17BC" w:rsidRPr="001D5B9F" w:rsidRDefault="000D17BC">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u w:val="single"/>
          <w:lang w:val="uk-UA"/>
        </w:rPr>
        <w:t>V-ІІ. Встановлення відповідності кандидата критерію особистої компетентності. </w:t>
      </w:r>
    </w:p>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1D5B9F">
        <w:rPr>
          <w:rFonts w:ascii="Times New Roman" w:eastAsia="Times New Roman" w:hAnsi="Times New Roman" w:cs="Times New Roman"/>
          <w:color w:val="000000"/>
          <w:sz w:val="25"/>
          <w:szCs w:val="25"/>
          <w:lang w:val="uk-UA"/>
        </w:rPr>
        <w:t>відповідально</w:t>
      </w:r>
      <w:proofErr w:type="spellEnd"/>
      <w:r w:rsidRPr="001D5B9F">
        <w:rPr>
          <w:rFonts w:ascii="Times New Roman" w:eastAsia="Times New Roman" w:hAnsi="Times New Roman" w:cs="Times New Roman"/>
          <w:color w:val="000000"/>
          <w:sz w:val="25"/>
          <w:szCs w:val="25"/>
          <w:lang w:val="uk-UA"/>
        </w:rPr>
        <w:t xml:space="preserve">, самостійно, цілеспрямовано та </w:t>
      </w:r>
      <w:proofErr w:type="spellStart"/>
      <w:r w:rsidRPr="001D5B9F">
        <w:rPr>
          <w:rFonts w:ascii="Times New Roman" w:eastAsia="Times New Roman" w:hAnsi="Times New Roman" w:cs="Times New Roman"/>
          <w:color w:val="000000"/>
          <w:sz w:val="25"/>
          <w:szCs w:val="25"/>
          <w:lang w:val="uk-UA"/>
        </w:rPr>
        <w:t>стійко</w:t>
      </w:r>
      <w:proofErr w:type="spellEnd"/>
      <w:r w:rsidRPr="001D5B9F">
        <w:rPr>
          <w:rFonts w:ascii="Times New Roman" w:eastAsia="Times New Roman" w:hAnsi="Times New Roman" w:cs="Times New Roman"/>
          <w:color w:val="000000"/>
          <w:sz w:val="25"/>
          <w:szCs w:val="25"/>
          <w:lang w:val="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0D17BC" w:rsidRPr="001D5B9F" w:rsidRDefault="00E47A9A">
      <w:pPr>
        <w:numPr>
          <w:ilvl w:val="0"/>
          <w:numId w:val="5"/>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0D17BC" w:rsidRPr="001D5B9F" w:rsidRDefault="00E47A9A">
      <w:pPr>
        <w:numPr>
          <w:ilvl w:val="1"/>
          <w:numId w:val="4"/>
        </w:numPr>
        <w:pBdr>
          <w:top w:val="nil"/>
          <w:left w:val="nil"/>
          <w:bottom w:val="nil"/>
          <w:right w:val="nil"/>
          <w:between w:val="nil"/>
        </w:pBdr>
        <w:shd w:val="clear" w:color="auto" w:fill="FFFFFF"/>
        <w:tabs>
          <w:tab w:val="left" w:pos="426"/>
        </w:tabs>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w:t>
      </w:r>
      <w:r w:rsidRPr="001D5B9F">
        <w:rPr>
          <w:rFonts w:ascii="Times New Roman" w:eastAsia="Times New Roman" w:hAnsi="Times New Roman" w:cs="Times New Roman"/>
          <w:color w:val="000000"/>
          <w:sz w:val="25"/>
          <w:szCs w:val="25"/>
          <w:lang w:val="uk-UA"/>
        </w:rPr>
        <w:lastRenderedPageBreak/>
        <w:t>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0D17BC" w:rsidRPr="001D5B9F" w:rsidRDefault="00E47A9A">
      <w:pPr>
        <w:numPr>
          <w:ilvl w:val="0"/>
          <w:numId w:val="8"/>
        </w:numPr>
        <w:pBdr>
          <w:top w:val="nil"/>
          <w:left w:val="nil"/>
          <w:bottom w:val="nil"/>
          <w:right w:val="nil"/>
          <w:between w:val="nil"/>
        </w:pBd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1D5B9F">
        <w:rPr>
          <w:rFonts w:ascii="Times New Roman" w:eastAsia="Times New Roman" w:hAnsi="Times New Roman" w:cs="Times New Roman"/>
          <w:color w:val="000000"/>
          <w:sz w:val="25"/>
          <w:szCs w:val="25"/>
          <w:lang w:val="uk-UA"/>
        </w:rPr>
        <w:t>уроки</w:t>
      </w:r>
      <w:proofErr w:type="spellEnd"/>
      <w:r w:rsidRPr="001D5B9F">
        <w:rPr>
          <w:rFonts w:ascii="Times New Roman" w:eastAsia="Times New Roman" w:hAnsi="Times New Roman" w:cs="Times New Roman"/>
          <w:color w:val="000000"/>
          <w:sz w:val="25"/>
          <w:szCs w:val="25"/>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1D5B9F">
        <w:rPr>
          <w:rFonts w:ascii="Times New Roman" w:eastAsia="Times New Roman" w:hAnsi="Times New Roman" w:cs="Times New Roman"/>
          <w:color w:val="000000"/>
          <w:sz w:val="25"/>
          <w:szCs w:val="25"/>
          <w:lang w:val="uk-UA"/>
        </w:rPr>
        <w:t>проєктах</w:t>
      </w:r>
      <w:proofErr w:type="spellEnd"/>
      <w:r w:rsidRPr="001D5B9F">
        <w:rPr>
          <w:rFonts w:ascii="Times New Roman" w:eastAsia="Times New Roman" w:hAnsi="Times New Roman" w:cs="Times New Roman"/>
          <w:color w:val="000000"/>
          <w:sz w:val="25"/>
          <w:szCs w:val="25"/>
          <w:lang w:val="uk-UA"/>
        </w:rPr>
        <w:t xml:space="preserve"> юридичного спрямування, пише статті, колонки або блоги на правову тематику тощо.</w:t>
      </w:r>
    </w:p>
    <w:p w:rsidR="000D17BC" w:rsidRPr="001D5B9F" w:rsidRDefault="00E47A9A">
      <w:pPr>
        <w:numPr>
          <w:ilvl w:val="0"/>
          <w:numId w:val="8"/>
        </w:numPr>
        <w:pBdr>
          <w:top w:val="nil"/>
          <w:left w:val="nil"/>
          <w:bottom w:val="nil"/>
          <w:right w:val="nil"/>
          <w:between w:val="nil"/>
        </w:pBdr>
        <w:shd w:val="clear" w:color="auto" w:fill="FFFFFF"/>
        <w:tabs>
          <w:tab w:val="left" w:pos="709"/>
        </w:tabs>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0D17BC" w:rsidRPr="001D5B9F" w:rsidRDefault="00E47A9A">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Вагу критерію особистої компетентності та її показників визначено таким чином: особиста компетентність – 50 балів, з яких:</w:t>
      </w:r>
      <w:bookmarkStart w:id="2" w:name="bookmark=id.jf1ljrcezu0r" w:colFirst="0" w:colLast="0"/>
      <w:bookmarkEnd w:id="2"/>
      <w:r w:rsidRPr="001D5B9F">
        <w:rPr>
          <w:rFonts w:ascii="Times New Roman" w:eastAsia="Times New Roman" w:hAnsi="Times New Roman" w:cs="Times New Roman"/>
          <w:color w:val="000000"/>
          <w:sz w:val="25"/>
          <w:szCs w:val="25"/>
          <w:lang w:val="uk-UA"/>
        </w:rPr>
        <w:t xml:space="preserve"> рішучість та відповідальність – 25 балів</w:t>
      </w:r>
      <w:bookmarkStart w:id="3" w:name="bookmark=id.yrwzynva3u48" w:colFirst="0" w:colLast="0"/>
      <w:bookmarkEnd w:id="3"/>
      <w:r w:rsidRPr="001D5B9F">
        <w:rPr>
          <w:rFonts w:ascii="Times New Roman" w:eastAsia="Times New Roman" w:hAnsi="Times New Roman" w:cs="Times New Roman"/>
          <w:color w:val="000000"/>
          <w:sz w:val="25"/>
          <w:szCs w:val="25"/>
          <w:lang w:val="uk-UA"/>
        </w:rPr>
        <w:t>; безперервний розвиток – 25 балів.</w:t>
      </w:r>
      <w:bookmarkStart w:id="4" w:name="bookmark=id.yo9yhqb96ozz" w:colFirst="0" w:colLast="0"/>
      <w:bookmarkEnd w:id="4"/>
    </w:p>
    <w:p w:rsidR="000D17BC" w:rsidRPr="001D5B9F" w:rsidRDefault="00E47A9A">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Комісія відзначає, що Положення про конкурс, а також Положення про кваліфікаційне оцінювання об’єднані принципом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0D17BC" w:rsidRPr="001D5B9F" w:rsidRDefault="00E47A9A">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0D17BC" w:rsidRPr="001D5B9F" w:rsidRDefault="00E47A9A">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0D17BC" w:rsidRPr="001D5B9F" w:rsidRDefault="00E47A9A">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переконливо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rsidR="000D17BC" w:rsidRPr="001D5B9F" w:rsidRDefault="00E47A9A">
      <w:pPr>
        <w:numPr>
          <w:ilvl w:val="0"/>
          <w:numId w:val="8"/>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0D17BC" w:rsidRPr="001D5B9F" w:rsidRDefault="00E47A9A">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Саме під час співбесіди формується остаточна оцінка кандидата на посаду судді. У зв’язку із цим Комісія підкреслює, що сам характер оцінювання особистої компетентності має індивідуальний характер і здійснюється членами Комісії за їх </w:t>
      </w:r>
      <w:r w:rsidRPr="001D5B9F">
        <w:rPr>
          <w:rFonts w:ascii="Times New Roman" w:eastAsia="Times New Roman" w:hAnsi="Times New Roman" w:cs="Times New Roman"/>
          <w:color w:val="000000"/>
          <w:sz w:val="25"/>
          <w:szCs w:val="25"/>
          <w:lang w:val="uk-UA"/>
        </w:rPr>
        <w:lastRenderedPageBreak/>
        <w:t>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0D17BC" w:rsidRPr="001D5B9F" w:rsidRDefault="00E47A9A">
      <w:pPr>
        <w:numPr>
          <w:ilvl w:val="0"/>
          <w:numId w:val="8"/>
        </w:numPr>
        <w:pBdr>
          <w:top w:val="nil"/>
          <w:left w:val="nil"/>
          <w:bottom w:val="nil"/>
          <w:right w:val="nil"/>
          <w:between w:val="nil"/>
        </w:pBdr>
        <w:shd w:val="clear" w:color="auto" w:fill="FFFFFF"/>
        <w:spacing w:after="0" w:line="240" w:lineRule="auto"/>
        <w:ind w:left="0" w:firstLine="66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0D17BC" w:rsidRPr="001D5B9F" w:rsidRDefault="00E47A9A">
      <w:pPr>
        <w:numPr>
          <w:ilvl w:val="0"/>
          <w:numId w:val="8"/>
        </w:numPr>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Надані кандидатом документи, а також </w:t>
      </w:r>
      <w:r w:rsidR="00385A9B" w:rsidRPr="001D5B9F">
        <w:rPr>
          <w:rFonts w:ascii="Times New Roman" w:eastAsia="Times New Roman" w:hAnsi="Times New Roman" w:cs="Times New Roman"/>
          <w:color w:val="000000"/>
          <w:sz w:val="25"/>
          <w:szCs w:val="25"/>
          <w:lang w:val="uk-UA"/>
        </w:rPr>
        <w:t>його</w:t>
      </w:r>
      <w:r w:rsidRPr="001D5B9F">
        <w:rPr>
          <w:rFonts w:ascii="Times New Roman" w:eastAsia="Times New Roman" w:hAnsi="Times New Roman" w:cs="Times New Roman"/>
          <w:color w:val="000000"/>
          <w:sz w:val="25"/>
          <w:szCs w:val="25"/>
          <w:lang w:val="uk-UA"/>
        </w:rPr>
        <w:t xml:space="preserve"> відповіді під час послідовного обговорення показників особистої компетентності на співбесіді індивідуально оцінено членами Комісії таким чином: </w:t>
      </w:r>
    </w:p>
    <w:p w:rsidR="000D17BC" w:rsidRPr="001D5B9F" w:rsidRDefault="000D17BC">
      <w:pPr>
        <w:spacing w:after="0" w:line="240" w:lineRule="auto"/>
        <w:jc w:val="both"/>
        <w:rPr>
          <w:rFonts w:ascii="Times New Roman" w:eastAsia="Times New Roman" w:hAnsi="Times New Roman" w:cs="Times New Roman"/>
          <w:color w:val="000000"/>
          <w:sz w:val="25"/>
          <w:szCs w:val="25"/>
          <w:lang w:val="uk-UA"/>
        </w:rPr>
      </w:pPr>
    </w:p>
    <w:p w:rsidR="000D17BC" w:rsidRPr="001D5B9F" w:rsidRDefault="000D17BC">
      <w:pPr>
        <w:spacing w:after="0" w:line="240" w:lineRule="auto"/>
        <w:jc w:val="both"/>
        <w:rPr>
          <w:rFonts w:ascii="Times New Roman" w:eastAsia="Times New Roman" w:hAnsi="Times New Roman" w:cs="Times New Roman"/>
          <w:color w:val="000000"/>
          <w:sz w:val="25"/>
          <w:szCs w:val="25"/>
          <w:lang w:val="uk-UA"/>
        </w:rPr>
      </w:pPr>
    </w:p>
    <w:tbl>
      <w:tblPr>
        <w:tblStyle w:val="afc"/>
        <w:tblW w:w="9755" w:type="dxa"/>
        <w:tblInd w:w="0" w:type="dxa"/>
        <w:tblLayout w:type="fixed"/>
        <w:tblLook w:val="0400" w:firstRow="0" w:lastRow="0" w:firstColumn="0" w:lastColumn="0" w:noHBand="0" w:noVBand="1"/>
      </w:tblPr>
      <w:tblGrid>
        <w:gridCol w:w="1741"/>
        <w:gridCol w:w="2653"/>
        <w:gridCol w:w="1005"/>
        <w:gridCol w:w="860"/>
        <w:gridCol w:w="866"/>
        <w:gridCol w:w="1571"/>
        <w:gridCol w:w="1059"/>
      </w:tblGrid>
      <w:tr w:rsidR="000D17BC" w:rsidRPr="001D5B9F">
        <w:trPr>
          <w:trHeight w:val="315"/>
        </w:trPr>
        <w:tc>
          <w:tcPr>
            <w:tcW w:w="1741" w:type="dxa"/>
            <w:tcBorders>
              <w:top w:val="single" w:sz="18" w:space="0" w:color="000000"/>
              <w:left w:val="single" w:sz="18" w:space="0" w:color="000000"/>
              <w:bottom w:val="single" w:sz="18" w:space="0" w:color="000000"/>
              <w:right w:val="single" w:sz="6" w:space="0" w:color="000000"/>
            </w:tcBorders>
            <w:shd w:val="clear" w:color="auto" w:fill="F2F2F2"/>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Критерій</w:t>
            </w:r>
          </w:p>
        </w:tc>
        <w:tc>
          <w:tcPr>
            <w:tcW w:w="2653"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Показник</w:t>
            </w:r>
          </w:p>
        </w:tc>
        <w:tc>
          <w:tcPr>
            <w:tcW w:w="2731" w:type="dxa"/>
            <w:gridSpan w:val="3"/>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Бали, виставлені членами Комісії за показниками</w:t>
            </w:r>
          </w:p>
        </w:tc>
        <w:tc>
          <w:tcPr>
            <w:tcW w:w="1571" w:type="dxa"/>
            <w:tcBorders>
              <w:top w:val="single" w:sz="18" w:space="0" w:color="000000"/>
              <w:left w:val="single" w:sz="6" w:space="0" w:color="CCCCCC"/>
              <w:bottom w:val="single" w:sz="6" w:space="0" w:color="000000"/>
              <w:right w:val="single" w:sz="6" w:space="0" w:color="000000"/>
            </w:tcBorders>
            <w:shd w:val="clear" w:color="auto" w:fill="F2F2F2"/>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Розрахований згідно з п. 5.7 Положення середній бал</w:t>
            </w:r>
          </w:p>
        </w:tc>
        <w:tc>
          <w:tcPr>
            <w:tcW w:w="1059" w:type="dxa"/>
            <w:tcBorders>
              <w:top w:val="single" w:sz="18" w:space="0" w:color="000000"/>
              <w:left w:val="single" w:sz="6" w:space="0" w:color="CCCCCC"/>
              <w:bottom w:val="single" w:sz="18" w:space="0" w:color="000000"/>
              <w:right w:val="single" w:sz="18" w:space="0" w:color="000000"/>
            </w:tcBorders>
            <w:shd w:val="clear" w:color="auto" w:fill="F2F2F2"/>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Бал за критерій</w:t>
            </w:r>
          </w:p>
        </w:tc>
      </w:tr>
      <w:tr w:rsidR="000D17BC" w:rsidRPr="001D5B9F">
        <w:trPr>
          <w:trHeight w:val="1580"/>
        </w:trPr>
        <w:tc>
          <w:tcPr>
            <w:tcW w:w="1741"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0D17BC" w:rsidRPr="001D5B9F" w:rsidRDefault="00E47A9A">
            <w:pP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Особиста компетентність</w:t>
            </w:r>
          </w:p>
        </w:tc>
        <w:tc>
          <w:tcPr>
            <w:tcW w:w="2653"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Рішучість</w:t>
            </w:r>
          </w:p>
        </w:tc>
        <w:tc>
          <w:tcPr>
            <w:tcW w:w="1005" w:type="dxa"/>
            <w:vMerge w:val="restart"/>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20</w:t>
            </w:r>
          </w:p>
        </w:tc>
        <w:tc>
          <w:tcPr>
            <w:tcW w:w="860"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18</w:t>
            </w:r>
          </w:p>
        </w:tc>
        <w:tc>
          <w:tcPr>
            <w:tcW w:w="866" w:type="dxa"/>
            <w:vMerge w:val="restart"/>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19</w:t>
            </w:r>
          </w:p>
        </w:tc>
        <w:tc>
          <w:tcPr>
            <w:tcW w:w="1571" w:type="dxa"/>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19</w:t>
            </w:r>
          </w:p>
        </w:tc>
        <w:tc>
          <w:tcPr>
            <w:tcW w:w="1059"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38,333</w:t>
            </w:r>
          </w:p>
        </w:tc>
      </w:tr>
      <w:tr w:rsidR="000D17BC" w:rsidRPr="001D5B9F">
        <w:trPr>
          <w:trHeight w:val="156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tcBorders>
              <w:top w:val="single" w:sz="6" w:space="0" w:color="CCCCCC"/>
              <w:left w:val="single" w:sz="6" w:space="0" w:color="CCCCCC"/>
              <w:bottom w:val="single" w:sz="4" w:space="0" w:color="000000"/>
              <w:right w:val="single" w:sz="6" w:space="0" w:color="000000"/>
            </w:tcBorders>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Відповідальність</w:t>
            </w:r>
          </w:p>
        </w:tc>
        <w:tc>
          <w:tcPr>
            <w:tcW w:w="1005" w:type="dxa"/>
            <w:vMerge/>
            <w:tcBorders>
              <w:top w:val="single" w:sz="18" w:space="0" w:color="000000"/>
              <w:left w:val="single" w:sz="6" w:space="0" w:color="CCCCCC"/>
              <w:bottom w:val="nil"/>
              <w:right w:val="single" w:sz="6"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860"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866" w:type="dxa"/>
            <w:vMerge/>
            <w:tcBorders>
              <w:top w:val="single" w:sz="18" w:space="0" w:color="000000"/>
              <w:left w:val="single" w:sz="6" w:space="0" w:color="CCCCCC"/>
              <w:right w:val="single" w:sz="6"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571" w:type="dxa"/>
            <w:vMerge/>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trHeight w:val="2670"/>
        </w:trPr>
        <w:tc>
          <w:tcPr>
            <w:tcW w:w="1741" w:type="dxa"/>
            <w:vMerge/>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2653"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Безперервний розвиток</w:t>
            </w:r>
          </w:p>
        </w:tc>
        <w:tc>
          <w:tcPr>
            <w:tcW w:w="1005"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21</w:t>
            </w:r>
          </w:p>
        </w:tc>
        <w:tc>
          <w:tcPr>
            <w:tcW w:w="860"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18</w:t>
            </w:r>
          </w:p>
        </w:tc>
        <w:tc>
          <w:tcPr>
            <w:tcW w:w="866" w:type="dxa"/>
            <w:tcBorders>
              <w:top w:val="single" w:sz="4" w:space="0" w:color="000000"/>
              <w:left w:val="single" w:sz="6" w:space="0" w:color="CCCCCC"/>
              <w:bottom w:val="single" w:sz="12" w:space="0" w:color="000000"/>
              <w:right w:val="single" w:sz="6" w:space="0" w:color="000000"/>
            </w:tcBorders>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19</w:t>
            </w:r>
          </w:p>
        </w:tc>
        <w:tc>
          <w:tcPr>
            <w:tcW w:w="1571" w:type="dxa"/>
            <w:tcBorders>
              <w:top w:val="single" w:sz="6" w:space="0" w:color="CCCCCC"/>
              <w:left w:val="single" w:sz="6" w:space="0" w:color="CCCCCC"/>
              <w:bottom w:val="single" w:sz="12" w:space="0" w:color="000000"/>
              <w:right w:val="single" w:sz="6" w:space="0" w:color="000000"/>
            </w:tcBorders>
            <w:tcMar>
              <w:top w:w="30" w:type="dxa"/>
              <w:left w:w="45" w:type="dxa"/>
              <w:bottom w:w="30" w:type="dxa"/>
              <w:right w:w="45" w:type="dxa"/>
            </w:tcMar>
            <w:vAlign w:val="center"/>
          </w:tcPr>
          <w:p w:rsidR="000D17BC" w:rsidRPr="001D5B9F" w:rsidRDefault="00E47A9A">
            <w:pPr>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19,33</w:t>
            </w:r>
          </w:p>
        </w:tc>
        <w:tc>
          <w:tcPr>
            <w:tcW w:w="1059" w:type="dxa"/>
            <w:vMerge/>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bl>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Надана кандидатом інформація письмово та під час співбесіди продемонструвала належний рівень відповідальності та безперервного розвитку кандидата.</w:t>
      </w:r>
    </w:p>
    <w:p w:rsidR="000D17BC" w:rsidRPr="001D5B9F" w:rsidRDefault="00E47A9A">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38,667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xml:space="preserve"> із </w:t>
      </w:r>
      <w:r w:rsidRPr="001D5B9F">
        <w:rPr>
          <w:rFonts w:ascii="Times New Roman" w:eastAsia="Times New Roman" w:hAnsi="Times New Roman" w:cs="Times New Roman"/>
          <w:color w:val="000000"/>
          <w:sz w:val="25"/>
          <w:szCs w:val="25"/>
          <w:lang w:val="uk-UA"/>
        </w:rPr>
        <w:lastRenderedPageBreak/>
        <w:t>50</w:t>
      </w:r>
      <w:r w:rsidR="00385A9B" w:rsidRPr="001D5B9F">
        <w:rPr>
          <w:rFonts w:ascii="Times New Roman" w:eastAsia="Times New Roman" w:hAnsi="Times New Roman" w:cs="Times New Roman"/>
          <w:color w:val="000000"/>
          <w:sz w:val="25"/>
          <w:szCs w:val="25"/>
          <w:lang w:val="uk-UA"/>
        </w:rPr>
        <w:t> </w:t>
      </w:r>
      <w:r w:rsidRPr="001D5B9F">
        <w:rPr>
          <w:rFonts w:ascii="Times New Roman" w:eastAsia="Times New Roman" w:hAnsi="Times New Roman" w:cs="Times New Roman"/>
          <w:color w:val="000000"/>
          <w:sz w:val="25"/>
          <w:szCs w:val="25"/>
          <w:lang w:val="uk-UA"/>
        </w:rPr>
        <w:t xml:space="preserve">можливих, що вище за 75% (37,5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а тому Комісія виснує, що кандидат підтверди</w:t>
      </w:r>
      <w:r w:rsidR="00385A9B" w:rsidRPr="001D5B9F">
        <w:rPr>
          <w:rFonts w:ascii="Times New Roman" w:eastAsia="Times New Roman" w:hAnsi="Times New Roman" w:cs="Times New Roman"/>
          <w:color w:val="000000"/>
          <w:sz w:val="25"/>
          <w:szCs w:val="25"/>
          <w:lang w:val="uk-UA"/>
        </w:rPr>
        <w:t>в</w:t>
      </w:r>
      <w:r w:rsidRPr="001D5B9F">
        <w:rPr>
          <w:rFonts w:ascii="Times New Roman" w:eastAsia="Times New Roman" w:hAnsi="Times New Roman" w:cs="Times New Roman"/>
          <w:color w:val="000000"/>
          <w:sz w:val="25"/>
          <w:szCs w:val="25"/>
          <w:lang w:val="uk-UA"/>
        </w:rPr>
        <w:t xml:space="preserve"> здатність здійснювати правосуддя в апеляційному загальному суді за критерієм особистої компетентності. </w:t>
      </w:r>
    </w:p>
    <w:p w:rsidR="000D17BC" w:rsidRPr="001D5B9F" w:rsidRDefault="000D17BC">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u w:val="single"/>
          <w:lang w:val="uk-UA"/>
        </w:rPr>
        <w:t>V-ІІІ. Встановлення відповідності кандидата критерію соціальної компетентності.</w:t>
      </w:r>
    </w:p>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0D17BC" w:rsidRPr="001D5B9F" w:rsidRDefault="00E47A9A">
      <w:pPr>
        <w:numPr>
          <w:ilvl w:val="0"/>
          <w:numId w:val="7"/>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0D17BC" w:rsidRPr="001D5B9F" w:rsidRDefault="00E47A9A">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62.1.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0D17BC" w:rsidRPr="001D5B9F" w:rsidRDefault="00E47A9A">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0D17BC" w:rsidRPr="001D5B9F" w:rsidRDefault="00E47A9A">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0D17BC" w:rsidRPr="001D5B9F" w:rsidRDefault="00E47A9A">
      <w:pPr>
        <w:numPr>
          <w:ilvl w:val="1"/>
          <w:numId w:val="2"/>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0D17BC" w:rsidRPr="001D5B9F" w:rsidRDefault="00E47A9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0D17BC" w:rsidRPr="001D5B9F" w:rsidRDefault="00E47A9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lastRenderedPageBreak/>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xml:space="preserve">; ефективна взаємодія – 12,5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xml:space="preserve">; стійкість мотивації – 12,5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емоційна стійкість – 12,5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w:t>
      </w:r>
    </w:p>
    <w:p w:rsidR="000D17BC" w:rsidRPr="001D5B9F" w:rsidRDefault="00E47A9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Так само як і в процесі оцінювання особистої компетентності, при оцінюванні відповідності кандидата критерію соціальної компетентності саме на кандидата покладається </w:t>
      </w:r>
      <w:proofErr w:type="spellStart"/>
      <w:r w:rsidRPr="001D5B9F">
        <w:rPr>
          <w:rFonts w:ascii="Times New Roman" w:eastAsia="Times New Roman" w:hAnsi="Times New Roman" w:cs="Times New Roman"/>
          <w:color w:val="000000"/>
          <w:sz w:val="25"/>
          <w:szCs w:val="25"/>
          <w:lang w:val="uk-UA"/>
        </w:rPr>
        <w:t>обовʼязок</w:t>
      </w:r>
      <w:proofErr w:type="spellEnd"/>
      <w:r w:rsidRPr="001D5B9F">
        <w:rPr>
          <w:rFonts w:ascii="Times New Roman" w:eastAsia="Times New Roman" w:hAnsi="Times New Roman" w:cs="Times New Roman"/>
          <w:color w:val="000000"/>
          <w:sz w:val="25"/>
          <w:szCs w:val="25"/>
          <w:lang w:val="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0D17BC" w:rsidRPr="001D5B9F" w:rsidRDefault="00E47A9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0D17BC" w:rsidRPr="001D5B9F" w:rsidRDefault="00E47A9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Як і в оцінюванні особистої компетентності, не менш важлива роль 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w:t>
      </w:r>
    </w:p>
    <w:p w:rsidR="000D17BC" w:rsidRPr="001D5B9F" w:rsidRDefault="00E47A9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1D5B9F">
        <w:rPr>
          <w:rFonts w:ascii="Times New Roman" w:eastAsia="Times New Roman" w:hAnsi="Times New Roman" w:cs="Times New Roman"/>
          <w:color w:val="000000"/>
          <w:sz w:val="25"/>
          <w:szCs w:val="25"/>
          <w:lang w:val="uk-UA"/>
        </w:rPr>
        <w:t>логічно</w:t>
      </w:r>
      <w:proofErr w:type="spellEnd"/>
      <w:r w:rsidRPr="001D5B9F">
        <w:rPr>
          <w:rFonts w:ascii="Times New Roman" w:eastAsia="Times New Roman" w:hAnsi="Times New Roman" w:cs="Times New Roman"/>
          <w:color w:val="000000"/>
          <w:sz w:val="25"/>
          <w:szCs w:val="25"/>
          <w:lang w:val="uk-UA"/>
        </w:rPr>
        <w:t xml:space="preserve"> узгоджені відповіді щодо відомостей, наданих на підтвердження відповідності цьому критерію. Ця здатність свідчить про відкритість,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0D17BC" w:rsidRPr="001D5B9F" w:rsidRDefault="00E47A9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Саме під час співбесіди формується остаточна оцінка кандидата на посаду судді. У зв’язку 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rsidR="000D17BC" w:rsidRPr="001D5B9F" w:rsidRDefault="00E47A9A">
      <w:pPr>
        <w:numPr>
          <w:ilvl w:val="0"/>
          <w:numId w:val="9"/>
        </w:numPr>
        <w:pBdr>
          <w:top w:val="nil"/>
          <w:left w:val="nil"/>
          <w:bottom w:val="nil"/>
          <w:right w:val="nil"/>
          <w:between w:val="nil"/>
        </w:pBdr>
        <w:shd w:val="clear" w:color="auto" w:fill="FFFFFF"/>
        <w:tabs>
          <w:tab w:val="left" w:pos="1701"/>
        </w:tabs>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або колегії шляхом обчислення середнього арифметичного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w:t>
      </w:r>
      <w:proofErr w:type="spellStart"/>
      <w:r w:rsidRPr="001D5B9F">
        <w:rPr>
          <w:rFonts w:ascii="Times New Roman" w:eastAsia="Times New Roman" w:hAnsi="Times New Roman" w:cs="Times New Roman"/>
          <w:color w:val="000000"/>
          <w:sz w:val="25"/>
          <w:szCs w:val="25"/>
          <w:lang w:val="uk-UA"/>
        </w:rPr>
        <w:t>колгії</w:t>
      </w:r>
      <w:proofErr w:type="spellEnd"/>
      <w:r w:rsidRPr="001D5B9F">
        <w:rPr>
          <w:rFonts w:ascii="Times New Roman" w:eastAsia="Times New Roman" w:hAnsi="Times New Roman" w:cs="Times New Roman"/>
          <w:color w:val="000000"/>
          <w:sz w:val="25"/>
          <w:szCs w:val="25"/>
          <w:lang w:val="uk-UA"/>
        </w:rPr>
        <w:t xml:space="preserve"> обчислення середнього арифметичного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xml:space="preserve"> здійснюється на підставі оцінок членів колегії, які брали участь у співбесіді під час кваліфікаційного оцінювання, без урахування однієї найвищої та однієї найнижчої оцінки.</w:t>
      </w:r>
    </w:p>
    <w:p w:rsidR="000D17BC" w:rsidRPr="001D5B9F" w:rsidRDefault="00E47A9A">
      <w:pPr>
        <w:numPr>
          <w:ilvl w:val="0"/>
          <w:numId w:val="9"/>
        </w:numPr>
        <w:pBdr>
          <w:top w:val="nil"/>
          <w:left w:val="nil"/>
          <w:bottom w:val="nil"/>
          <w:right w:val="nil"/>
          <w:between w:val="nil"/>
        </w:pBdr>
        <w:shd w:val="clear" w:color="auto" w:fill="FFFFFF"/>
        <w:spacing w:after="20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Надані </w:t>
      </w:r>
      <w:proofErr w:type="spellStart"/>
      <w:r w:rsidRPr="001D5B9F">
        <w:rPr>
          <w:rFonts w:ascii="Times New Roman" w:eastAsia="Times New Roman" w:hAnsi="Times New Roman" w:cs="Times New Roman"/>
          <w:sz w:val="25"/>
          <w:szCs w:val="25"/>
          <w:lang w:val="uk-UA"/>
        </w:rPr>
        <w:t>Грабчуком</w:t>
      </w:r>
      <w:proofErr w:type="spellEnd"/>
      <w:r w:rsidRPr="001D5B9F">
        <w:rPr>
          <w:rFonts w:ascii="Times New Roman" w:eastAsia="Times New Roman" w:hAnsi="Times New Roman" w:cs="Times New Roman"/>
          <w:sz w:val="25"/>
          <w:szCs w:val="25"/>
          <w:lang w:val="uk-UA"/>
        </w:rPr>
        <w:t xml:space="preserve"> О.В.</w:t>
      </w:r>
      <w:r w:rsidRPr="001D5B9F">
        <w:rPr>
          <w:rFonts w:ascii="Times New Roman" w:eastAsia="Times New Roman" w:hAnsi="Times New Roman" w:cs="Times New Roman"/>
          <w:color w:val="000000"/>
          <w:sz w:val="25"/>
          <w:szCs w:val="25"/>
          <w:lang w:val="uk-UA"/>
        </w:rPr>
        <w:t xml:space="preserve"> документи, а також </w:t>
      </w:r>
      <w:r w:rsidR="00385A9B" w:rsidRPr="001D5B9F">
        <w:rPr>
          <w:rFonts w:ascii="Times New Roman" w:eastAsia="Times New Roman" w:hAnsi="Times New Roman" w:cs="Times New Roman"/>
          <w:color w:val="000000"/>
          <w:sz w:val="25"/>
          <w:szCs w:val="25"/>
          <w:lang w:val="uk-UA"/>
        </w:rPr>
        <w:t>його</w:t>
      </w:r>
      <w:r w:rsidRPr="001D5B9F">
        <w:rPr>
          <w:rFonts w:ascii="Times New Roman" w:eastAsia="Times New Roman" w:hAnsi="Times New Roman" w:cs="Times New Roman"/>
          <w:color w:val="000000"/>
          <w:sz w:val="25"/>
          <w:szCs w:val="25"/>
          <w:lang w:val="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385A9B" w:rsidRPr="001D5B9F" w:rsidRDefault="00385A9B" w:rsidP="00385A9B">
      <w:pPr>
        <w:pBdr>
          <w:top w:val="nil"/>
          <w:left w:val="nil"/>
          <w:bottom w:val="nil"/>
          <w:right w:val="nil"/>
          <w:between w:val="nil"/>
        </w:pBdr>
        <w:shd w:val="clear" w:color="auto" w:fill="FFFFFF"/>
        <w:spacing w:after="200" w:line="240" w:lineRule="auto"/>
        <w:ind w:left="709"/>
        <w:jc w:val="both"/>
        <w:rPr>
          <w:rFonts w:ascii="Times New Roman" w:eastAsia="Times New Roman" w:hAnsi="Times New Roman" w:cs="Times New Roman"/>
          <w:color w:val="000000"/>
          <w:sz w:val="25"/>
          <w:szCs w:val="25"/>
          <w:lang w:val="uk-UA"/>
        </w:rPr>
      </w:pPr>
    </w:p>
    <w:tbl>
      <w:tblPr>
        <w:tblStyle w:val="afd"/>
        <w:tblW w:w="9592" w:type="dxa"/>
        <w:tblInd w:w="0" w:type="dxa"/>
        <w:tblLayout w:type="fixed"/>
        <w:tblLook w:val="0400" w:firstRow="0" w:lastRow="0" w:firstColumn="0" w:lastColumn="0" w:noHBand="0" w:noVBand="1"/>
      </w:tblPr>
      <w:tblGrid>
        <w:gridCol w:w="1820"/>
        <w:gridCol w:w="1701"/>
        <w:gridCol w:w="829"/>
        <w:gridCol w:w="829"/>
        <w:gridCol w:w="830"/>
        <w:gridCol w:w="2334"/>
        <w:gridCol w:w="1249"/>
      </w:tblGrid>
      <w:tr w:rsidR="000D17BC" w:rsidRPr="001D5B9F">
        <w:trPr>
          <w:trHeight w:val="315"/>
        </w:trPr>
        <w:tc>
          <w:tcPr>
            <w:tcW w:w="1820" w:type="dxa"/>
            <w:tcBorders>
              <w:top w:val="single" w:sz="18" w:space="0" w:color="000000"/>
              <w:left w:val="single" w:sz="12"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lastRenderedPageBreak/>
              <w:t>Критерій</w:t>
            </w:r>
          </w:p>
        </w:tc>
        <w:tc>
          <w:tcPr>
            <w:tcW w:w="1701" w:type="dxa"/>
            <w:tcBorders>
              <w:top w:val="single" w:sz="18" w:space="0" w:color="000000"/>
              <w:left w:val="single" w:sz="12"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Показник</w:t>
            </w:r>
          </w:p>
        </w:tc>
        <w:tc>
          <w:tcPr>
            <w:tcW w:w="2488" w:type="dxa"/>
            <w:gridSpan w:val="3"/>
            <w:tcBorders>
              <w:top w:val="single" w:sz="18" w:space="0" w:color="000000"/>
              <w:left w:val="single" w:sz="6" w:space="0" w:color="000000"/>
              <w:bottom w:val="single" w:sz="12" w:space="0" w:color="000000"/>
              <w:right w:val="single" w:sz="6" w:space="0" w:color="000000"/>
            </w:tcBorders>
            <w:shd w:val="clear" w:color="auto" w:fill="F2F2F2"/>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Бали, виставлені членами Комісії за показниками</w:t>
            </w:r>
          </w:p>
        </w:tc>
        <w:tc>
          <w:tcPr>
            <w:tcW w:w="2334" w:type="dxa"/>
            <w:tcBorders>
              <w:top w:val="single" w:sz="18" w:space="0" w:color="000000"/>
              <w:left w:val="single" w:sz="6" w:space="0" w:color="000000"/>
              <w:bottom w:val="single" w:sz="18" w:space="0" w:color="000000"/>
              <w:right w:val="single" w:sz="12" w:space="0" w:color="000000"/>
            </w:tcBorders>
            <w:shd w:val="clear" w:color="auto" w:fill="F2F2F2"/>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Розрахований згідно з пунктом 5.7 Положення середній бал</w:t>
            </w:r>
          </w:p>
        </w:tc>
        <w:tc>
          <w:tcPr>
            <w:tcW w:w="1249" w:type="dxa"/>
            <w:tcBorders>
              <w:top w:val="single" w:sz="18" w:space="0" w:color="000000"/>
              <w:left w:val="single" w:sz="12" w:space="0" w:color="000000"/>
              <w:bottom w:val="single" w:sz="18" w:space="0" w:color="000000"/>
              <w:right w:val="single" w:sz="18" w:space="0" w:color="000000"/>
            </w:tcBorders>
            <w:shd w:val="clear" w:color="auto" w:fill="F2F2F2"/>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Бал за критерій</w:t>
            </w:r>
          </w:p>
        </w:tc>
      </w:tr>
      <w:tr w:rsidR="000D17BC" w:rsidRPr="001D5B9F">
        <w:trPr>
          <w:trHeight w:val="663"/>
        </w:trPr>
        <w:tc>
          <w:tcPr>
            <w:tcW w:w="1820" w:type="dxa"/>
            <w:vMerge w:val="restart"/>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0D17BC" w:rsidRPr="001D5B9F" w:rsidRDefault="00E47A9A">
            <w:pPr>
              <w:spacing w:after="0" w:line="240" w:lineRule="auto"/>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Соціальна компетентність</w:t>
            </w:r>
          </w:p>
        </w:tc>
        <w:tc>
          <w:tcPr>
            <w:tcW w:w="1701" w:type="dxa"/>
            <w:tcBorders>
              <w:top w:val="single" w:sz="12" w:space="0" w:color="000000"/>
              <w:left w:val="single" w:sz="12" w:space="0" w:color="000000"/>
              <w:bottom w:val="single" w:sz="18"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Ефективна комунікація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9</w:t>
            </w:r>
          </w:p>
        </w:tc>
        <w:tc>
          <w:tcPr>
            <w:tcW w:w="829" w:type="dxa"/>
            <w:tcBorders>
              <w:top w:val="single" w:sz="12"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9</w:t>
            </w:r>
          </w:p>
        </w:tc>
        <w:tc>
          <w:tcPr>
            <w:tcW w:w="830" w:type="dxa"/>
            <w:tcBorders>
              <w:top w:val="single" w:sz="18" w:space="0" w:color="000000"/>
              <w:left w:val="single" w:sz="6" w:space="0" w:color="000000"/>
              <w:bottom w:val="single" w:sz="18"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sz w:val="25"/>
                <w:szCs w:val="25"/>
                <w:lang w:val="uk-UA"/>
              </w:rPr>
              <w:t>9</w:t>
            </w:r>
          </w:p>
        </w:tc>
        <w:tc>
          <w:tcPr>
            <w:tcW w:w="2334" w:type="dxa"/>
            <w:tcBorders>
              <w:top w:val="single" w:sz="18" w:space="0" w:color="000000"/>
              <w:left w:val="single" w:sz="6" w:space="0" w:color="000000"/>
              <w:bottom w:val="single" w:sz="18" w:space="0" w:color="000000"/>
              <w:right w:val="single" w:sz="12"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9,00</w:t>
            </w:r>
          </w:p>
        </w:tc>
        <w:tc>
          <w:tcPr>
            <w:tcW w:w="1249" w:type="dxa"/>
            <w:vMerge w:val="restart"/>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37,667</w:t>
            </w:r>
          </w:p>
        </w:tc>
      </w:tr>
      <w:tr w:rsidR="000D17BC" w:rsidRPr="001D5B9F">
        <w:trPr>
          <w:trHeight w:val="747"/>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Ефективна взаємодія</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9</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9</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sz w:val="25"/>
                <w:szCs w:val="25"/>
                <w:lang w:val="uk-UA"/>
              </w:rPr>
              <w:t>9</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9,00</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trHeight w:val="700"/>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tcBorders>
              <w:top w:val="single" w:sz="12" w:space="0" w:color="000000"/>
              <w:left w:val="single" w:sz="12"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Стійкість мотивації</w:t>
            </w:r>
          </w:p>
        </w:tc>
        <w:tc>
          <w:tcPr>
            <w:tcW w:w="829" w:type="dxa"/>
            <w:tcBorders>
              <w:top w:val="single" w:sz="12" w:space="0" w:color="000000"/>
              <w:left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10</w:t>
            </w:r>
          </w:p>
        </w:tc>
        <w:tc>
          <w:tcPr>
            <w:tcW w:w="829"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10</w:t>
            </w:r>
          </w:p>
        </w:tc>
        <w:tc>
          <w:tcPr>
            <w:tcW w:w="830" w:type="dxa"/>
            <w:tcBorders>
              <w:top w:val="single" w:sz="12"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sz w:val="25"/>
                <w:szCs w:val="25"/>
                <w:lang w:val="uk-UA"/>
              </w:rPr>
              <w:t>11</w:t>
            </w:r>
          </w:p>
        </w:tc>
        <w:tc>
          <w:tcPr>
            <w:tcW w:w="2334" w:type="dxa"/>
            <w:tcBorders>
              <w:top w:val="single" w:sz="12" w:space="0" w:color="000000"/>
              <w:left w:val="single" w:sz="6" w:space="0" w:color="000000"/>
              <w:bottom w:val="single" w:sz="6" w:space="0" w:color="000000"/>
              <w:right w:val="single" w:sz="12"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10,33</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trHeight w:val="598"/>
        </w:trPr>
        <w:tc>
          <w:tcPr>
            <w:tcW w:w="1820" w:type="dxa"/>
            <w:vMerge/>
            <w:tcBorders>
              <w:top w:val="single" w:sz="18" w:space="0" w:color="000000"/>
              <w:left w:val="single" w:sz="12" w:space="0" w:color="000000"/>
              <w:bottom w:val="single" w:sz="18" w:space="0" w:color="000000"/>
              <w:right w:val="single" w:sz="12"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01" w:type="dxa"/>
            <w:tcBorders>
              <w:top w:val="single" w:sz="12" w:space="0" w:color="000000"/>
              <w:left w:val="single" w:sz="12" w:space="0" w:color="000000"/>
              <w:bottom w:val="single" w:sz="12"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Емоційна стійкість</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9</w:t>
            </w:r>
          </w:p>
        </w:tc>
        <w:tc>
          <w:tcPr>
            <w:tcW w:w="829"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9</w:t>
            </w:r>
          </w:p>
        </w:tc>
        <w:tc>
          <w:tcPr>
            <w:tcW w:w="830" w:type="dxa"/>
            <w:tcBorders>
              <w:top w:val="single" w:sz="12" w:space="0" w:color="000000"/>
              <w:left w:val="single" w:sz="6" w:space="0" w:color="000000"/>
              <w:bottom w:val="single" w:sz="12" w:space="0" w:color="000000"/>
              <w:right w:val="single" w:sz="6"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sz w:val="25"/>
                <w:szCs w:val="25"/>
                <w:lang w:val="uk-UA"/>
              </w:rPr>
              <w:t>10</w:t>
            </w:r>
          </w:p>
        </w:tc>
        <w:tc>
          <w:tcPr>
            <w:tcW w:w="2334" w:type="dxa"/>
            <w:tcBorders>
              <w:top w:val="single" w:sz="12" w:space="0" w:color="000000"/>
              <w:left w:val="single" w:sz="6" w:space="0" w:color="000000"/>
              <w:bottom w:val="single" w:sz="12" w:space="0" w:color="000000"/>
              <w:right w:val="single" w:sz="12" w:space="0" w:color="000000"/>
            </w:tcBorders>
            <w:tcMar>
              <w:top w:w="30" w:type="dxa"/>
              <w:left w:w="45" w:type="dxa"/>
              <w:bottom w:w="30" w:type="dxa"/>
              <w:right w:w="45"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9,33</w:t>
            </w:r>
          </w:p>
        </w:tc>
        <w:tc>
          <w:tcPr>
            <w:tcW w:w="1249" w:type="dxa"/>
            <w:vMerge/>
            <w:tcBorders>
              <w:top w:val="single" w:sz="18" w:space="0" w:color="000000"/>
              <w:left w:val="single" w:sz="12" w:space="0" w:color="000000"/>
              <w:bottom w:val="single" w:sz="18" w:space="0" w:color="000000"/>
              <w:right w:val="single" w:sz="18" w:space="0" w:color="000000"/>
            </w:tcBorders>
            <w:tcMar>
              <w:top w:w="30" w:type="dxa"/>
              <w:left w:w="45" w:type="dxa"/>
              <w:bottom w:w="30" w:type="dxa"/>
              <w:right w:w="45"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bl>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Отже, Комісія вважає, що кандидат під час співбесіди продемонструва</w:t>
      </w:r>
      <w:r w:rsidR="00385A9B" w:rsidRPr="001D5B9F">
        <w:rPr>
          <w:rFonts w:ascii="Times New Roman" w:eastAsia="Times New Roman" w:hAnsi="Times New Roman" w:cs="Times New Roman"/>
          <w:color w:val="000000"/>
          <w:sz w:val="25"/>
          <w:szCs w:val="25"/>
          <w:lang w:val="uk-UA"/>
        </w:rPr>
        <w:t>в</w:t>
      </w:r>
      <w:r w:rsidRPr="001D5B9F">
        <w:rPr>
          <w:rFonts w:ascii="Times New Roman" w:eastAsia="Times New Roman" w:hAnsi="Times New Roman" w:cs="Times New Roman"/>
          <w:color w:val="000000"/>
          <w:sz w:val="25"/>
          <w:szCs w:val="25"/>
          <w:lang w:val="uk-UA"/>
        </w:rPr>
        <w:t xml:space="preserve"> належний рівень соціальної компетентності.</w:t>
      </w:r>
    </w:p>
    <w:p w:rsidR="000D17BC" w:rsidRPr="001D5B9F" w:rsidRDefault="00E47A9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39 балів із 50 можливих, що вище за 75% (37,5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 а тому Комісія виснує, що кандидат відповідає критерію соціальної компетентності. </w:t>
      </w:r>
    </w:p>
    <w:p w:rsidR="000D17BC" w:rsidRPr="001D5B9F" w:rsidRDefault="000D17BC">
      <w:pPr>
        <w:shd w:val="clear" w:color="auto" w:fill="FFFFFF"/>
        <w:spacing w:after="0" w:line="240" w:lineRule="auto"/>
        <w:ind w:left="709"/>
        <w:jc w:val="both"/>
        <w:rPr>
          <w:rFonts w:ascii="Times New Roman" w:eastAsia="Times New Roman" w:hAnsi="Times New Roman" w:cs="Times New Roman"/>
          <w:color w:val="000000"/>
          <w:sz w:val="25"/>
          <w:szCs w:val="25"/>
          <w:lang w:val="uk-UA"/>
        </w:rPr>
      </w:pPr>
    </w:p>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u w:val="single"/>
          <w:lang w:val="uk-UA"/>
        </w:rPr>
        <w:t>V-ІV. Загальні принципи, застосовані Комісією при встановленні відповідності кандидата критеріям професійної етики та доброчесності.</w:t>
      </w:r>
    </w:p>
    <w:p w:rsidR="000D17BC" w:rsidRPr="001D5B9F" w:rsidRDefault="000D17BC">
      <w:pPr>
        <w:spacing w:after="0" w:line="240" w:lineRule="auto"/>
        <w:rPr>
          <w:rFonts w:ascii="Times New Roman" w:eastAsia="Times New Roman" w:hAnsi="Times New Roman" w:cs="Times New Roman"/>
          <w:sz w:val="25"/>
          <w:szCs w:val="25"/>
          <w:lang w:val="uk-UA"/>
        </w:rPr>
      </w:pPr>
    </w:p>
    <w:p w:rsidR="000D17BC" w:rsidRPr="001D5B9F" w:rsidRDefault="00E47A9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0D17BC" w:rsidRPr="001D5B9F" w:rsidRDefault="00E47A9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0D17BC" w:rsidRPr="001D5B9F" w:rsidRDefault="00E47A9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0D17BC" w:rsidRPr="001D5B9F" w:rsidRDefault="00E47A9A">
      <w:pPr>
        <w:numPr>
          <w:ilvl w:val="0"/>
          <w:numId w:val="9"/>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0D17BC" w:rsidRPr="001D5B9F" w:rsidRDefault="00E47A9A">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78. Відповідність кандидата на посаду судді критеріям доброчесності та професійної етики встановлюється за такими показниками:</w:t>
      </w:r>
    </w:p>
    <w:p w:rsidR="000D17BC" w:rsidRPr="001D5B9F" w:rsidRDefault="00E47A9A">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lastRenderedPageBreak/>
        <w:t>Незалежність.</w:t>
      </w:r>
    </w:p>
    <w:p w:rsidR="000D17BC" w:rsidRPr="001D5B9F" w:rsidRDefault="00E47A9A">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Чесність.</w:t>
      </w:r>
    </w:p>
    <w:p w:rsidR="000D17BC" w:rsidRPr="001D5B9F" w:rsidRDefault="00E47A9A">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Неупередженість.</w:t>
      </w:r>
    </w:p>
    <w:p w:rsidR="000D17BC" w:rsidRPr="001D5B9F" w:rsidRDefault="00E47A9A">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Сумлінність.</w:t>
      </w:r>
    </w:p>
    <w:p w:rsidR="000D17BC" w:rsidRPr="001D5B9F" w:rsidRDefault="00E47A9A">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Непідкупність.</w:t>
      </w:r>
    </w:p>
    <w:p w:rsidR="000D17BC" w:rsidRPr="001D5B9F" w:rsidRDefault="00E47A9A">
      <w:pPr>
        <w:numPr>
          <w:ilvl w:val="1"/>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Дотримання етичних норм і бездоганна поведінка у професійній діяльності та особистому житті.</w:t>
      </w:r>
    </w:p>
    <w:p w:rsidR="000D17BC" w:rsidRPr="001D5B9F" w:rsidRDefault="00E47A9A">
      <w:pPr>
        <w:numPr>
          <w:ilvl w:val="1"/>
          <w:numId w:val="6"/>
        </w:numP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Наповнюють змістом ці показники затверджені Вищою радою правосуддя Єдині показники для оцінки доброчесності та професійної етики судді (кандидата на посаду судді) (далі – Єдині показники).</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Встановлення невідповідності показникам відбувається через призму істотності та суттєвості невідповідності тому чи іншому показнику. </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У разі суттєвої невідповідності кандидата на посаду судді показнику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1D5B9F">
        <w:rPr>
          <w:rFonts w:ascii="Times New Roman" w:eastAsia="Times New Roman" w:hAnsi="Times New Roman" w:cs="Times New Roman"/>
          <w:color w:val="000000"/>
          <w:sz w:val="25"/>
          <w:szCs w:val="25"/>
          <w:lang w:val="uk-UA"/>
        </w:rPr>
        <w:t>дискреції</w:t>
      </w:r>
      <w:proofErr w:type="spellEnd"/>
      <w:r w:rsidRPr="001D5B9F">
        <w:rPr>
          <w:rFonts w:ascii="Times New Roman" w:eastAsia="Times New Roman" w:hAnsi="Times New Roman" w:cs="Times New Roman"/>
          <w:color w:val="000000"/>
          <w:sz w:val="25"/>
          <w:szCs w:val="25"/>
          <w:lang w:val="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0D17BC" w:rsidRPr="001D5B9F" w:rsidRDefault="000D17BC">
      <w:pPr>
        <w:shd w:val="clear" w:color="auto" w:fill="FFFFFF"/>
        <w:spacing w:after="0" w:line="240" w:lineRule="auto"/>
        <w:ind w:firstLine="709"/>
        <w:jc w:val="both"/>
        <w:rPr>
          <w:rFonts w:ascii="Times New Roman" w:eastAsia="Times New Roman" w:hAnsi="Times New Roman" w:cs="Times New Roman"/>
          <w:color w:val="000000"/>
          <w:sz w:val="25"/>
          <w:szCs w:val="25"/>
          <w:lang w:val="uk-UA"/>
        </w:rPr>
      </w:pPr>
    </w:p>
    <w:p w:rsidR="000D17BC" w:rsidRPr="001D5B9F" w:rsidRDefault="00E47A9A">
      <w:pPr>
        <w:spacing w:after="0" w:line="240" w:lineRule="auto"/>
        <w:ind w:firstLine="709"/>
        <w:jc w:val="both"/>
        <w:rPr>
          <w:rFonts w:ascii="Times New Roman" w:eastAsia="Times New Roman" w:hAnsi="Times New Roman" w:cs="Times New Roman"/>
          <w:color w:val="000000"/>
          <w:sz w:val="25"/>
          <w:szCs w:val="25"/>
          <w:u w:val="single"/>
          <w:lang w:val="uk-UA"/>
        </w:rPr>
      </w:pPr>
      <w:bookmarkStart w:id="5" w:name="_heading=h.u8d3h3ixsr48" w:colFirst="0" w:colLast="0"/>
      <w:bookmarkEnd w:id="5"/>
      <w:r w:rsidRPr="001D5B9F">
        <w:rPr>
          <w:rFonts w:ascii="Times New Roman" w:eastAsia="Times New Roman" w:hAnsi="Times New Roman" w:cs="Times New Roman"/>
          <w:color w:val="000000"/>
          <w:sz w:val="25"/>
          <w:szCs w:val="25"/>
          <w:u w:val="single"/>
          <w:lang w:val="uk-UA"/>
        </w:rPr>
        <w:t>V-V. Встановлення відповідності кандидата критеріям професійної етики та доброчесності.</w:t>
      </w:r>
    </w:p>
    <w:p w:rsidR="000D17BC" w:rsidRPr="001D5B9F" w:rsidRDefault="000D17BC">
      <w:pPr>
        <w:spacing w:after="0" w:line="240" w:lineRule="auto"/>
        <w:ind w:firstLine="709"/>
        <w:jc w:val="both"/>
        <w:rPr>
          <w:rFonts w:ascii="Times New Roman" w:eastAsia="Times New Roman" w:hAnsi="Times New Roman" w:cs="Times New Roman"/>
          <w:sz w:val="25"/>
          <w:szCs w:val="25"/>
          <w:lang w:val="uk-UA"/>
        </w:rPr>
      </w:pP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Комісією не встановлено</w:t>
      </w:r>
      <w:r w:rsidRPr="001D5B9F">
        <w:rPr>
          <w:rFonts w:ascii="Times New Roman" w:eastAsia="Times New Roman" w:hAnsi="Times New Roman" w:cs="Times New Roman"/>
          <w:sz w:val="25"/>
          <w:szCs w:val="25"/>
          <w:lang w:val="uk-UA"/>
        </w:rPr>
        <w:t xml:space="preserve"> істотних </w:t>
      </w:r>
      <w:r w:rsidRPr="001D5B9F">
        <w:rPr>
          <w:rFonts w:ascii="Times New Roman" w:eastAsia="Times New Roman" w:hAnsi="Times New Roman" w:cs="Times New Roman"/>
          <w:color w:val="000000"/>
          <w:sz w:val="25"/>
          <w:szCs w:val="25"/>
          <w:lang w:val="uk-UA"/>
        </w:rPr>
        <w:t xml:space="preserve">обставин, які свідчать про невідповідність </w:t>
      </w:r>
      <w:proofErr w:type="spellStart"/>
      <w:r w:rsidRPr="001D5B9F">
        <w:rPr>
          <w:rFonts w:ascii="Times New Roman" w:eastAsia="Times New Roman" w:hAnsi="Times New Roman" w:cs="Times New Roman"/>
          <w:sz w:val="25"/>
          <w:szCs w:val="25"/>
          <w:lang w:val="uk-UA"/>
        </w:rPr>
        <w:t>Грабчука</w:t>
      </w:r>
      <w:proofErr w:type="spellEnd"/>
      <w:r w:rsidRPr="001D5B9F">
        <w:rPr>
          <w:rFonts w:ascii="Times New Roman" w:eastAsia="Times New Roman" w:hAnsi="Times New Roman" w:cs="Times New Roman"/>
          <w:sz w:val="25"/>
          <w:szCs w:val="25"/>
          <w:lang w:val="uk-UA"/>
        </w:rPr>
        <w:t xml:space="preserve"> О.В.</w:t>
      </w:r>
      <w:r w:rsidRPr="001D5B9F">
        <w:rPr>
          <w:rFonts w:ascii="Times New Roman" w:eastAsia="Times New Roman" w:hAnsi="Times New Roman" w:cs="Times New Roman"/>
          <w:color w:val="000000"/>
          <w:sz w:val="25"/>
          <w:szCs w:val="25"/>
          <w:lang w:val="uk-UA"/>
        </w:rPr>
        <w:t xml:space="preserve"> критеріям професійної етики та доброчесності.</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Попри це</w:t>
      </w:r>
      <w:r w:rsidR="00385A9B" w:rsidRPr="001D5B9F">
        <w:rPr>
          <w:rFonts w:ascii="Times New Roman" w:eastAsia="Times New Roman" w:hAnsi="Times New Roman" w:cs="Times New Roman"/>
          <w:color w:val="000000"/>
          <w:sz w:val="25"/>
          <w:szCs w:val="25"/>
          <w:lang w:val="uk-UA"/>
        </w:rPr>
        <w:t>,</w:t>
      </w:r>
      <w:r w:rsidRPr="001D5B9F">
        <w:rPr>
          <w:rFonts w:ascii="Times New Roman" w:eastAsia="Times New Roman" w:hAnsi="Times New Roman" w:cs="Times New Roman"/>
          <w:color w:val="000000"/>
          <w:sz w:val="25"/>
          <w:szCs w:val="25"/>
          <w:lang w:val="uk-UA"/>
        </w:rPr>
        <w:t xml:space="preserve"> Комісія звертає увагу на таке.</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lastRenderedPageBreak/>
        <w:t xml:space="preserve">Як було зазначено у висновку ГРД про невідповідність </w:t>
      </w:r>
      <w:proofErr w:type="spellStart"/>
      <w:r w:rsidRPr="001D5B9F">
        <w:rPr>
          <w:rFonts w:ascii="Times New Roman" w:eastAsia="Times New Roman" w:hAnsi="Times New Roman" w:cs="Times New Roman"/>
          <w:color w:val="000000"/>
          <w:sz w:val="25"/>
          <w:szCs w:val="25"/>
          <w:lang w:val="uk-UA"/>
        </w:rPr>
        <w:t>Грабчука</w:t>
      </w:r>
      <w:proofErr w:type="spellEnd"/>
      <w:r w:rsidRPr="001D5B9F">
        <w:rPr>
          <w:rFonts w:ascii="Times New Roman" w:eastAsia="Times New Roman" w:hAnsi="Times New Roman" w:cs="Times New Roman"/>
          <w:color w:val="000000"/>
          <w:sz w:val="25"/>
          <w:szCs w:val="25"/>
          <w:lang w:val="uk-UA"/>
        </w:rPr>
        <w:t xml:space="preserve"> О.В. критеріям доброчесності та професійної етики, кандидатом за період 2022</w:t>
      </w:r>
      <w:r w:rsidR="00385A9B" w:rsidRPr="001D5B9F">
        <w:rPr>
          <w:rFonts w:ascii="Times New Roman" w:eastAsia="Times New Roman" w:hAnsi="Times New Roman" w:cs="Times New Roman"/>
          <w:color w:val="000000"/>
          <w:sz w:val="25"/>
          <w:szCs w:val="25"/>
          <w:lang w:val="uk-UA"/>
        </w:rPr>
        <w:t>–</w:t>
      </w:r>
      <w:r w:rsidRPr="001D5B9F">
        <w:rPr>
          <w:rFonts w:ascii="Times New Roman" w:eastAsia="Times New Roman" w:hAnsi="Times New Roman" w:cs="Times New Roman"/>
          <w:color w:val="000000"/>
          <w:sz w:val="25"/>
          <w:szCs w:val="25"/>
          <w:lang w:val="uk-UA"/>
        </w:rPr>
        <w:t xml:space="preserve">2024 роки не було задекларовано нерухоме майно, що перебувало в </w:t>
      </w:r>
      <w:r w:rsidR="00385A9B" w:rsidRPr="001D5B9F">
        <w:rPr>
          <w:rFonts w:ascii="Times New Roman" w:eastAsia="Times New Roman" w:hAnsi="Times New Roman" w:cs="Times New Roman"/>
          <w:color w:val="000000"/>
          <w:sz w:val="25"/>
          <w:szCs w:val="25"/>
          <w:lang w:val="uk-UA"/>
        </w:rPr>
        <w:t>його користуванні та розташоване</w:t>
      </w:r>
      <w:r w:rsidRPr="001D5B9F">
        <w:rPr>
          <w:rFonts w:ascii="Times New Roman" w:eastAsia="Times New Roman" w:hAnsi="Times New Roman" w:cs="Times New Roman"/>
          <w:color w:val="000000"/>
          <w:sz w:val="25"/>
          <w:szCs w:val="25"/>
          <w:lang w:val="uk-UA"/>
        </w:rPr>
        <w:t xml:space="preserve"> за місцем здійснення адвокатської діяльності останн</w:t>
      </w:r>
      <w:r w:rsidR="00385A9B" w:rsidRPr="001D5B9F">
        <w:rPr>
          <w:rFonts w:ascii="Times New Roman" w:eastAsia="Times New Roman" w:hAnsi="Times New Roman" w:cs="Times New Roman"/>
          <w:color w:val="000000"/>
          <w:sz w:val="25"/>
          <w:szCs w:val="25"/>
          <w:lang w:val="uk-UA"/>
        </w:rPr>
        <w:t>ім</w:t>
      </w:r>
      <w:r w:rsidRPr="001D5B9F">
        <w:rPr>
          <w:rFonts w:ascii="Times New Roman" w:eastAsia="Times New Roman" w:hAnsi="Times New Roman" w:cs="Times New Roman"/>
          <w:color w:val="000000"/>
          <w:sz w:val="25"/>
          <w:szCs w:val="25"/>
          <w:lang w:val="uk-UA"/>
        </w:rPr>
        <w:t>.</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0"/>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Кандидат </w:t>
      </w:r>
      <w:r w:rsidR="00385A9B" w:rsidRPr="001D5B9F">
        <w:rPr>
          <w:rFonts w:ascii="Times New Roman" w:eastAsia="Times New Roman" w:hAnsi="Times New Roman" w:cs="Times New Roman"/>
          <w:color w:val="000000"/>
          <w:sz w:val="25"/>
          <w:szCs w:val="25"/>
          <w:lang w:val="uk-UA"/>
        </w:rPr>
        <w:t xml:space="preserve">під час </w:t>
      </w:r>
      <w:r w:rsidRPr="001D5B9F">
        <w:rPr>
          <w:rFonts w:ascii="Times New Roman" w:eastAsia="Times New Roman" w:hAnsi="Times New Roman" w:cs="Times New Roman"/>
          <w:color w:val="000000"/>
          <w:sz w:val="25"/>
          <w:szCs w:val="25"/>
          <w:lang w:val="uk-UA"/>
        </w:rPr>
        <w:t>співбесіди підтвердив зазначений факт та повідомив, що ним дійсно використовується вказаний у висновку ГРД офіс, однак, ним помилково не було відображено відомості про вказану нерухомість під час заповнення декларацій за період 2022-2024 роки.</w:t>
      </w:r>
    </w:p>
    <w:p w:rsidR="000D17BC" w:rsidRPr="001D5B9F" w:rsidRDefault="00385A9B">
      <w:pPr>
        <w:numPr>
          <w:ilvl w:val="0"/>
          <w:numId w:val="3"/>
        </w:numPr>
        <w:pBdr>
          <w:top w:val="nil"/>
          <w:left w:val="nil"/>
          <w:bottom w:val="nil"/>
          <w:right w:val="nil"/>
          <w:between w:val="nil"/>
        </w:pBdr>
        <w:shd w:val="clear" w:color="auto" w:fill="FFFFFF"/>
        <w:spacing w:after="0" w:line="240" w:lineRule="auto"/>
        <w:ind w:left="0" w:firstLine="700"/>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Відповідно до положень пункту</w:t>
      </w:r>
      <w:r w:rsidR="00E47A9A" w:rsidRPr="001D5B9F">
        <w:rPr>
          <w:rFonts w:ascii="Times New Roman" w:eastAsia="Times New Roman" w:hAnsi="Times New Roman" w:cs="Times New Roman"/>
          <w:color w:val="000000"/>
          <w:sz w:val="25"/>
          <w:szCs w:val="25"/>
          <w:lang w:val="uk-UA"/>
        </w:rPr>
        <w:t xml:space="preserve"> 2 ч</w:t>
      </w:r>
      <w:r w:rsidRPr="001D5B9F">
        <w:rPr>
          <w:rFonts w:ascii="Times New Roman" w:eastAsia="Times New Roman" w:hAnsi="Times New Roman" w:cs="Times New Roman"/>
          <w:color w:val="000000"/>
          <w:sz w:val="25"/>
          <w:szCs w:val="25"/>
          <w:lang w:val="uk-UA"/>
        </w:rPr>
        <w:t>астини</w:t>
      </w:r>
      <w:r w:rsidR="00E47A9A" w:rsidRPr="001D5B9F">
        <w:rPr>
          <w:rFonts w:ascii="Times New Roman" w:eastAsia="Times New Roman" w:hAnsi="Times New Roman" w:cs="Times New Roman"/>
          <w:color w:val="000000"/>
          <w:sz w:val="25"/>
          <w:szCs w:val="25"/>
          <w:lang w:val="uk-UA"/>
        </w:rPr>
        <w:t xml:space="preserve"> </w:t>
      </w:r>
      <w:r w:rsidRPr="001D5B9F">
        <w:rPr>
          <w:rFonts w:ascii="Times New Roman" w:eastAsia="Times New Roman" w:hAnsi="Times New Roman" w:cs="Times New Roman"/>
          <w:color w:val="000000"/>
          <w:sz w:val="25"/>
          <w:szCs w:val="25"/>
          <w:lang w:val="uk-UA"/>
        </w:rPr>
        <w:t>першої</w:t>
      </w:r>
      <w:r w:rsidR="00E47A9A" w:rsidRPr="001D5B9F">
        <w:rPr>
          <w:rFonts w:ascii="Times New Roman" w:eastAsia="Times New Roman" w:hAnsi="Times New Roman" w:cs="Times New Roman"/>
          <w:color w:val="000000"/>
          <w:sz w:val="25"/>
          <w:szCs w:val="25"/>
          <w:lang w:val="uk-UA"/>
        </w:rPr>
        <w:t xml:space="preserve"> ст</w:t>
      </w:r>
      <w:r w:rsidRPr="001D5B9F">
        <w:rPr>
          <w:rFonts w:ascii="Times New Roman" w:eastAsia="Times New Roman" w:hAnsi="Times New Roman" w:cs="Times New Roman"/>
          <w:color w:val="000000"/>
          <w:sz w:val="25"/>
          <w:szCs w:val="25"/>
          <w:lang w:val="uk-UA"/>
        </w:rPr>
        <w:t>атті</w:t>
      </w:r>
      <w:r w:rsidR="00E47A9A" w:rsidRPr="001D5B9F">
        <w:rPr>
          <w:rFonts w:ascii="Times New Roman" w:eastAsia="Times New Roman" w:hAnsi="Times New Roman" w:cs="Times New Roman"/>
          <w:color w:val="000000"/>
          <w:sz w:val="25"/>
          <w:szCs w:val="25"/>
          <w:lang w:val="uk-UA"/>
        </w:rPr>
        <w:t xml:space="preserve"> 46 Закону України «Про запобігання корупції» у декларації</w:t>
      </w:r>
      <w:r w:rsidRPr="001D5B9F">
        <w:rPr>
          <w:rFonts w:ascii="Times New Roman" w:eastAsia="Times New Roman" w:hAnsi="Times New Roman" w:cs="Times New Roman"/>
          <w:color w:val="000000"/>
          <w:sz w:val="25"/>
          <w:szCs w:val="25"/>
          <w:lang w:val="uk-UA"/>
        </w:rPr>
        <w:t>,</w:t>
      </w:r>
      <w:r w:rsidR="00E47A9A" w:rsidRPr="001D5B9F">
        <w:rPr>
          <w:rFonts w:ascii="Times New Roman" w:eastAsia="Times New Roman" w:hAnsi="Times New Roman" w:cs="Times New Roman"/>
          <w:color w:val="000000"/>
          <w:sz w:val="25"/>
          <w:szCs w:val="25"/>
          <w:lang w:val="uk-UA"/>
        </w:rPr>
        <w:t xml:space="preserve"> зокрема</w:t>
      </w:r>
      <w:r w:rsidRPr="001D5B9F">
        <w:rPr>
          <w:rFonts w:ascii="Times New Roman" w:eastAsia="Times New Roman" w:hAnsi="Times New Roman" w:cs="Times New Roman"/>
          <w:color w:val="000000"/>
          <w:sz w:val="25"/>
          <w:szCs w:val="25"/>
          <w:lang w:val="uk-UA"/>
        </w:rPr>
        <w:t>,</w:t>
      </w:r>
      <w:r w:rsidR="00E47A9A" w:rsidRPr="001D5B9F">
        <w:rPr>
          <w:rFonts w:ascii="Times New Roman" w:eastAsia="Times New Roman" w:hAnsi="Times New Roman" w:cs="Times New Roman"/>
          <w:color w:val="000000"/>
          <w:sz w:val="25"/>
          <w:szCs w:val="25"/>
          <w:lang w:val="uk-UA"/>
        </w:rPr>
        <w:t xml:space="preserve"> зазначаються відомості про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Дані про об’єкт декларування, що перебуває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(за умови що право володіння або користування </w:t>
      </w:r>
      <w:proofErr w:type="spellStart"/>
      <w:r w:rsidR="00E47A9A" w:rsidRPr="001D5B9F">
        <w:rPr>
          <w:rFonts w:ascii="Times New Roman" w:eastAsia="Times New Roman" w:hAnsi="Times New Roman" w:cs="Times New Roman"/>
          <w:color w:val="000000"/>
          <w:sz w:val="25"/>
          <w:szCs w:val="25"/>
          <w:lang w:val="uk-UA"/>
        </w:rPr>
        <w:t>виникло</w:t>
      </w:r>
      <w:proofErr w:type="spellEnd"/>
      <w:r w:rsidR="00E47A9A" w:rsidRPr="001D5B9F">
        <w:rPr>
          <w:rFonts w:ascii="Times New Roman" w:eastAsia="Times New Roman" w:hAnsi="Times New Roman" w:cs="Times New Roman"/>
          <w:color w:val="000000"/>
          <w:sz w:val="25"/>
          <w:szCs w:val="25"/>
          <w:lang w:val="uk-UA"/>
        </w:rPr>
        <w:t xml:space="preserve"> у суб’єкта декларування не менше ніж за 30 календарних днів, що передували останньому дню звітного періоду) або протягом не менше половини днів протягом звітного періоду.</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0"/>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Отже</w:t>
      </w:r>
      <w:r w:rsidR="00385A9B" w:rsidRPr="001D5B9F">
        <w:rPr>
          <w:rFonts w:ascii="Times New Roman" w:eastAsia="Times New Roman" w:hAnsi="Times New Roman" w:cs="Times New Roman"/>
          <w:color w:val="000000"/>
          <w:sz w:val="25"/>
          <w:szCs w:val="25"/>
          <w:lang w:val="uk-UA"/>
        </w:rPr>
        <w:t>,</w:t>
      </w:r>
      <w:r w:rsidRPr="001D5B9F">
        <w:rPr>
          <w:rFonts w:ascii="Times New Roman" w:eastAsia="Times New Roman" w:hAnsi="Times New Roman" w:cs="Times New Roman"/>
          <w:color w:val="000000"/>
          <w:sz w:val="25"/>
          <w:szCs w:val="25"/>
          <w:lang w:val="uk-UA"/>
        </w:rPr>
        <w:t xml:space="preserve"> на переконання Комісії</w:t>
      </w:r>
      <w:r w:rsidR="00385A9B" w:rsidRPr="001D5B9F">
        <w:rPr>
          <w:rFonts w:ascii="Times New Roman" w:eastAsia="Times New Roman" w:hAnsi="Times New Roman" w:cs="Times New Roman"/>
          <w:color w:val="000000"/>
          <w:sz w:val="25"/>
          <w:szCs w:val="25"/>
          <w:lang w:val="uk-UA"/>
        </w:rPr>
        <w:t>,</w:t>
      </w:r>
      <w:r w:rsidRPr="001D5B9F">
        <w:rPr>
          <w:rFonts w:ascii="Times New Roman" w:eastAsia="Times New Roman" w:hAnsi="Times New Roman" w:cs="Times New Roman"/>
          <w:color w:val="000000"/>
          <w:sz w:val="25"/>
          <w:szCs w:val="25"/>
          <w:lang w:val="uk-UA"/>
        </w:rPr>
        <w:t xml:space="preserve"> </w:t>
      </w:r>
      <w:proofErr w:type="spellStart"/>
      <w:r w:rsidRPr="001D5B9F">
        <w:rPr>
          <w:rFonts w:ascii="Times New Roman" w:eastAsia="Times New Roman" w:hAnsi="Times New Roman" w:cs="Times New Roman"/>
          <w:color w:val="000000"/>
          <w:sz w:val="25"/>
          <w:szCs w:val="25"/>
          <w:lang w:val="uk-UA"/>
        </w:rPr>
        <w:t>Грабчук</w:t>
      </w:r>
      <w:proofErr w:type="spellEnd"/>
      <w:r w:rsidRPr="001D5B9F">
        <w:rPr>
          <w:rFonts w:ascii="Times New Roman" w:eastAsia="Times New Roman" w:hAnsi="Times New Roman" w:cs="Times New Roman"/>
          <w:color w:val="000000"/>
          <w:sz w:val="25"/>
          <w:szCs w:val="25"/>
          <w:lang w:val="uk-UA"/>
        </w:rPr>
        <w:t xml:space="preserve"> О.В. під час заповнення декларацій за 2022</w:t>
      </w:r>
      <w:r w:rsidR="00385A9B" w:rsidRPr="001D5B9F">
        <w:rPr>
          <w:rFonts w:ascii="Times New Roman" w:eastAsia="Times New Roman" w:hAnsi="Times New Roman" w:cs="Times New Roman"/>
          <w:color w:val="000000"/>
          <w:sz w:val="25"/>
          <w:szCs w:val="25"/>
          <w:lang w:val="uk-UA"/>
        </w:rPr>
        <w:t>–</w:t>
      </w:r>
      <w:r w:rsidRPr="001D5B9F">
        <w:rPr>
          <w:rFonts w:ascii="Times New Roman" w:eastAsia="Times New Roman" w:hAnsi="Times New Roman" w:cs="Times New Roman"/>
          <w:color w:val="000000"/>
          <w:sz w:val="25"/>
          <w:szCs w:val="25"/>
          <w:lang w:val="uk-UA"/>
        </w:rPr>
        <w:t xml:space="preserve">2024 роки продемонстрував неуважність і недостатню сумлінність. Хоча Комісія не знайшла підстав вважати таку поведінку умисною, все ж послідовне виявлення кандидатом недбалості під час заповнення декларацій суттєво дисонує із вимогами, що ставляться до судді. </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0"/>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А тому такий прояв недбалості Комісія розцінює як підставу для зменшення балів кандидата за критерієм професійної етики та доброчесності на 15 балів за показником «Сумлінність».</w:t>
      </w:r>
    </w:p>
    <w:p w:rsidR="000D17BC" w:rsidRPr="001D5B9F" w:rsidRDefault="00385A9B">
      <w:pPr>
        <w:numPr>
          <w:ilvl w:val="0"/>
          <w:numId w:val="3"/>
        </w:numPr>
        <w:pBdr>
          <w:top w:val="nil"/>
          <w:left w:val="nil"/>
          <w:bottom w:val="nil"/>
          <w:right w:val="nil"/>
          <w:between w:val="nil"/>
        </w:pBdr>
        <w:shd w:val="clear" w:color="auto" w:fill="FFFFFF"/>
        <w:spacing w:after="0" w:line="240" w:lineRule="auto"/>
        <w:ind w:left="0" w:firstLine="700"/>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Під час</w:t>
      </w:r>
      <w:r w:rsidR="00E47A9A" w:rsidRPr="001D5B9F">
        <w:rPr>
          <w:rFonts w:ascii="Times New Roman" w:eastAsia="Times New Roman" w:hAnsi="Times New Roman" w:cs="Times New Roman"/>
          <w:color w:val="000000"/>
          <w:sz w:val="25"/>
          <w:szCs w:val="25"/>
          <w:lang w:val="uk-UA"/>
        </w:rPr>
        <w:t xml:space="preserve"> співбесіди Комісія також звернула увагу на придбання дружиною кандидата автомобіля «</w:t>
      </w:r>
      <w:proofErr w:type="spellStart"/>
      <w:r w:rsidR="00E47A9A" w:rsidRPr="001D5B9F">
        <w:rPr>
          <w:rFonts w:ascii="Times New Roman" w:eastAsia="Times New Roman" w:hAnsi="Times New Roman" w:cs="Times New Roman"/>
          <w:color w:val="000000"/>
          <w:sz w:val="25"/>
          <w:szCs w:val="25"/>
          <w:lang w:val="uk-UA"/>
        </w:rPr>
        <w:t>Nissan</w:t>
      </w:r>
      <w:proofErr w:type="spellEnd"/>
      <w:r w:rsidR="00E47A9A" w:rsidRPr="001D5B9F">
        <w:rPr>
          <w:rFonts w:ascii="Times New Roman" w:eastAsia="Times New Roman" w:hAnsi="Times New Roman" w:cs="Times New Roman"/>
          <w:color w:val="000000"/>
          <w:sz w:val="25"/>
          <w:szCs w:val="25"/>
          <w:lang w:val="uk-UA"/>
        </w:rPr>
        <w:t xml:space="preserve"> </w:t>
      </w:r>
      <w:proofErr w:type="spellStart"/>
      <w:r w:rsidR="00E47A9A" w:rsidRPr="001D5B9F">
        <w:rPr>
          <w:rFonts w:ascii="Times New Roman" w:eastAsia="Times New Roman" w:hAnsi="Times New Roman" w:cs="Times New Roman"/>
          <w:color w:val="000000"/>
          <w:sz w:val="25"/>
          <w:szCs w:val="25"/>
          <w:lang w:val="uk-UA"/>
        </w:rPr>
        <w:t>Rogue</w:t>
      </w:r>
      <w:proofErr w:type="spellEnd"/>
      <w:r w:rsidR="00E47A9A" w:rsidRPr="001D5B9F">
        <w:rPr>
          <w:rFonts w:ascii="Times New Roman" w:eastAsia="Times New Roman" w:hAnsi="Times New Roman" w:cs="Times New Roman"/>
          <w:color w:val="000000"/>
          <w:sz w:val="25"/>
          <w:szCs w:val="25"/>
          <w:lang w:val="uk-UA"/>
        </w:rPr>
        <w:t>» 2018 року випуску за 3 000 грн.</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0"/>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Від</w:t>
      </w:r>
      <w:r w:rsidRPr="001D5B9F">
        <w:rPr>
          <w:rFonts w:ascii="Times New Roman" w:eastAsia="Times New Roman" w:hAnsi="Times New Roman" w:cs="Times New Roman"/>
          <w:sz w:val="25"/>
          <w:szCs w:val="25"/>
          <w:lang w:val="uk-UA"/>
        </w:rPr>
        <w:t>омості щодо обставин вказаного правочину та цін на аналогічні автомобілі, що містяться у відкритих джерелах, можуть викликати у стороннього спостерігача обґрунтований сумнів у дійсності вказаної ціни.</w:t>
      </w:r>
    </w:p>
    <w:p w:rsidR="000D17BC" w:rsidRPr="001D5B9F" w:rsidRDefault="00E47A9A">
      <w:pPr>
        <w:numPr>
          <w:ilvl w:val="0"/>
          <w:numId w:val="3"/>
        </w:numPr>
        <w:pBdr>
          <w:top w:val="nil"/>
          <w:left w:val="nil"/>
          <w:bottom w:val="nil"/>
          <w:right w:val="nil"/>
          <w:between w:val="nil"/>
        </w:pBdr>
        <w:spacing w:after="0" w:line="240" w:lineRule="auto"/>
        <w:ind w:left="0" w:firstLine="700"/>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Під обґрунтованим сумнівом Комісія розуміє наявність відповідних та достатніх фактичних даних, які є переконливими для звичайної розсудливої людини, яка достатньою мірою інформована про факти та процеси, </w:t>
      </w:r>
      <w:r w:rsidR="007D2F8D" w:rsidRPr="001D5B9F">
        <w:rPr>
          <w:rFonts w:ascii="Times New Roman" w:eastAsia="Times New Roman" w:hAnsi="Times New Roman" w:cs="Times New Roman"/>
          <w:color w:val="000000"/>
          <w:sz w:val="25"/>
          <w:szCs w:val="25"/>
          <w:lang w:val="uk-UA"/>
        </w:rPr>
        <w:t>які</w:t>
      </w:r>
      <w:r w:rsidRPr="001D5B9F">
        <w:rPr>
          <w:rFonts w:ascii="Times New Roman" w:eastAsia="Times New Roman" w:hAnsi="Times New Roman" w:cs="Times New Roman"/>
          <w:color w:val="000000"/>
          <w:sz w:val="25"/>
          <w:szCs w:val="25"/>
          <w:lang w:val="uk-UA"/>
        </w:rPr>
        <w:t xml:space="preserve"> відбуваються, щодо </w:t>
      </w:r>
      <w:r w:rsidR="007D2F8D" w:rsidRPr="001D5B9F">
        <w:rPr>
          <w:rFonts w:ascii="Times New Roman" w:eastAsia="Times New Roman" w:hAnsi="Times New Roman" w:cs="Times New Roman"/>
          <w:color w:val="000000"/>
          <w:sz w:val="25"/>
          <w:szCs w:val="25"/>
          <w:lang w:val="uk-UA"/>
        </w:rPr>
        <w:t>можливої невідповідності</w:t>
      </w:r>
      <w:r w:rsidRPr="001D5B9F">
        <w:rPr>
          <w:rFonts w:ascii="Times New Roman" w:eastAsia="Times New Roman" w:hAnsi="Times New Roman" w:cs="Times New Roman"/>
          <w:color w:val="000000"/>
          <w:sz w:val="25"/>
          <w:szCs w:val="25"/>
          <w:lang w:val="uk-UA"/>
        </w:rPr>
        <w:t xml:space="preserve"> кандидат</w:t>
      </w:r>
      <w:r w:rsidR="007D2F8D" w:rsidRPr="001D5B9F">
        <w:rPr>
          <w:rFonts w:ascii="Times New Roman" w:eastAsia="Times New Roman" w:hAnsi="Times New Roman" w:cs="Times New Roman"/>
          <w:color w:val="000000"/>
          <w:sz w:val="25"/>
          <w:szCs w:val="25"/>
          <w:lang w:val="uk-UA"/>
        </w:rPr>
        <w:t>а</w:t>
      </w:r>
      <w:r w:rsidRPr="001D5B9F">
        <w:rPr>
          <w:rFonts w:ascii="Times New Roman" w:eastAsia="Times New Roman" w:hAnsi="Times New Roman" w:cs="Times New Roman"/>
          <w:color w:val="000000"/>
          <w:sz w:val="25"/>
          <w:szCs w:val="25"/>
          <w:lang w:val="uk-UA"/>
        </w:rPr>
        <w:t xml:space="preserve"> на посаду судді критеріям доброчесності та професійної етики.</w:t>
      </w:r>
    </w:p>
    <w:p w:rsidR="000D17BC" w:rsidRPr="001D5B9F" w:rsidRDefault="00E47A9A">
      <w:pPr>
        <w:numPr>
          <w:ilvl w:val="0"/>
          <w:numId w:val="3"/>
        </w:numPr>
        <w:shd w:val="clear" w:color="auto" w:fill="FFFFFF"/>
        <w:spacing w:after="0" w:line="240" w:lineRule="auto"/>
        <w:ind w:left="0" w:firstLine="705"/>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Відповідно до відомостей Єдиного державного реєстру транспортних засобів зазначений автомобіль був ввезений на територію України з-за кордону та перебував у власності продавця менше двох місяців.</w:t>
      </w:r>
    </w:p>
    <w:p w:rsidR="000D17BC" w:rsidRPr="001D5B9F" w:rsidRDefault="00E47A9A">
      <w:pPr>
        <w:numPr>
          <w:ilvl w:val="0"/>
          <w:numId w:val="3"/>
        </w:numPr>
        <w:shd w:val="clear" w:color="auto" w:fill="FFFFFF"/>
        <w:spacing w:after="0" w:line="240" w:lineRule="auto"/>
        <w:ind w:left="0" w:firstLine="705"/>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Водночас згідно з наданими ГРД відомостями вказаний продавець здійснював систематичну діяльність з купівлі-продажу транспортних засобів. Зазначені обставини кандидат підтвердив у своїх письмових поясненнях.</w:t>
      </w:r>
    </w:p>
    <w:p w:rsidR="000D17BC" w:rsidRPr="001D5B9F" w:rsidRDefault="00E47A9A">
      <w:pPr>
        <w:numPr>
          <w:ilvl w:val="0"/>
          <w:numId w:val="3"/>
        </w:numPr>
        <w:shd w:val="clear" w:color="auto" w:fill="FFFFFF"/>
        <w:spacing w:after="0" w:line="240" w:lineRule="auto"/>
        <w:ind w:left="0" w:firstLine="705"/>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Кандидат під час співбесіди повідомив, що низька вартість автомобіля обумовлена тісними соціальними зв’язками його дружини з продавцем автомобіля.</w:t>
      </w:r>
    </w:p>
    <w:p w:rsidR="000D17BC" w:rsidRPr="001D5B9F" w:rsidRDefault="00E47A9A">
      <w:pPr>
        <w:numPr>
          <w:ilvl w:val="0"/>
          <w:numId w:val="3"/>
        </w:numPr>
        <w:shd w:val="clear" w:color="auto" w:fill="FFFFFF"/>
        <w:spacing w:after="0" w:line="240" w:lineRule="auto"/>
        <w:ind w:left="0" w:firstLine="705"/>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Водночас на відповідні запитання членів Комісії кандидат зазначив, що він та його дружина не проводили дозвілля разом і</w:t>
      </w:r>
      <w:r w:rsidR="007D2F8D" w:rsidRPr="001D5B9F">
        <w:rPr>
          <w:rFonts w:ascii="Times New Roman" w:eastAsia="Times New Roman" w:hAnsi="Times New Roman" w:cs="Times New Roman"/>
          <w:sz w:val="25"/>
          <w:szCs w:val="25"/>
          <w:lang w:val="uk-UA"/>
        </w:rPr>
        <w:t>з зазначеним продавцем, зокрема</w:t>
      </w:r>
      <w:r w:rsidRPr="001D5B9F">
        <w:rPr>
          <w:rFonts w:ascii="Times New Roman" w:eastAsia="Times New Roman" w:hAnsi="Times New Roman" w:cs="Times New Roman"/>
          <w:sz w:val="25"/>
          <w:szCs w:val="25"/>
          <w:lang w:val="uk-UA"/>
        </w:rPr>
        <w:t xml:space="preserve"> не святкували спільно свят, не зустрічались сім’ями тощо. Комісія не встановила, а кандидат не повідомив про такі обставини, які би свідчили про дійсно настільки тісні відносини між сторонами договору купівлі</w:t>
      </w:r>
      <w:r w:rsidR="007D2F8D" w:rsidRPr="001D5B9F">
        <w:rPr>
          <w:rFonts w:ascii="Times New Roman" w:eastAsia="Times New Roman" w:hAnsi="Times New Roman" w:cs="Times New Roman"/>
          <w:color w:val="000000"/>
          <w:sz w:val="25"/>
          <w:szCs w:val="25"/>
          <w:lang w:val="uk-UA"/>
        </w:rPr>
        <w:t>–</w:t>
      </w:r>
      <w:r w:rsidRPr="001D5B9F">
        <w:rPr>
          <w:rFonts w:ascii="Times New Roman" w:eastAsia="Times New Roman" w:hAnsi="Times New Roman" w:cs="Times New Roman"/>
          <w:sz w:val="25"/>
          <w:szCs w:val="25"/>
          <w:lang w:val="uk-UA"/>
        </w:rPr>
        <w:t>продажу автомобіля, щоб вони обумовили суттєве зниження ціни автомобіля.</w:t>
      </w:r>
    </w:p>
    <w:p w:rsidR="000D17BC" w:rsidRPr="001D5B9F" w:rsidRDefault="00E47A9A">
      <w:pPr>
        <w:numPr>
          <w:ilvl w:val="0"/>
          <w:numId w:val="3"/>
        </w:numPr>
        <w:shd w:val="clear" w:color="auto" w:fill="FFFFFF"/>
        <w:spacing w:after="0" w:line="240" w:lineRule="auto"/>
        <w:ind w:left="0" w:firstLine="708"/>
        <w:jc w:val="both"/>
        <w:rPr>
          <w:rFonts w:ascii="Times New Roman" w:eastAsia="Times New Roman" w:hAnsi="Times New Roman" w:cs="Times New Roman"/>
          <w:sz w:val="25"/>
          <w:szCs w:val="25"/>
          <w:lang w:val="uk-UA"/>
        </w:rPr>
      </w:pPr>
      <w:bookmarkStart w:id="6" w:name="_heading=h.2n7moh61tzaw" w:colFirst="0" w:colLast="0"/>
      <w:bookmarkEnd w:id="6"/>
      <w:r w:rsidRPr="001D5B9F">
        <w:rPr>
          <w:rFonts w:ascii="Times New Roman" w:eastAsia="Times New Roman" w:hAnsi="Times New Roman" w:cs="Times New Roman"/>
          <w:sz w:val="25"/>
          <w:szCs w:val="25"/>
          <w:lang w:val="uk-UA"/>
        </w:rPr>
        <w:lastRenderedPageBreak/>
        <w:t>Тому характер підприємницької діяльності продавця, термін перебування автомобіля у його власності та безпосередньо сама ціна, на переконання Комісії, є відповідними та достатніми фактичними даними, які є переконливими для звичайної розсудливої людини, а отже</w:t>
      </w:r>
      <w:r w:rsidR="007D2F8D" w:rsidRPr="001D5B9F">
        <w:rPr>
          <w:rFonts w:ascii="Times New Roman" w:eastAsia="Times New Roman" w:hAnsi="Times New Roman" w:cs="Times New Roman"/>
          <w:sz w:val="25"/>
          <w:szCs w:val="25"/>
          <w:lang w:val="uk-UA"/>
        </w:rPr>
        <w:t>,</w:t>
      </w:r>
      <w:r w:rsidRPr="001D5B9F">
        <w:rPr>
          <w:rFonts w:ascii="Times New Roman" w:eastAsia="Times New Roman" w:hAnsi="Times New Roman" w:cs="Times New Roman"/>
          <w:sz w:val="25"/>
          <w:szCs w:val="25"/>
          <w:lang w:val="uk-UA"/>
        </w:rPr>
        <w:t xml:space="preserve"> слугують підставою для виникнення </w:t>
      </w:r>
      <w:r w:rsidR="00744C2D" w:rsidRPr="001D5B9F">
        <w:rPr>
          <w:rFonts w:ascii="Times New Roman" w:eastAsia="Times New Roman" w:hAnsi="Times New Roman" w:cs="Times New Roman"/>
          <w:sz w:val="25"/>
          <w:szCs w:val="25"/>
          <w:lang w:val="uk-UA"/>
        </w:rPr>
        <w:t>обґрунтованого</w:t>
      </w:r>
      <w:bookmarkStart w:id="7" w:name="_GoBack"/>
      <w:bookmarkEnd w:id="7"/>
      <w:r w:rsidRPr="001D5B9F">
        <w:rPr>
          <w:rFonts w:ascii="Times New Roman" w:eastAsia="Times New Roman" w:hAnsi="Times New Roman" w:cs="Times New Roman"/>
          <w:sz w:val="25"/>
          <w:szCs w:val="25"/>
          <w:lang w:val="uk-UA"/>
        </w:rPr>
        <w:t xml:space="preserve"> сумніву щодо справжньої ціни продажу транспортного засобу. </w:t>
      </w:r>
      <w:r w:rsidR="007D2F8D" w:rsidRPr="001D5B9F">
        <w:rPr>
          <w:rFonts w:ascii="Times New Roman" w:eastAsia="Times New Roman" w:hAnsi="Times New Roman" w:cs="Times New Roman"/>
          <w:sz w:val="25"/>
          <w:szCs w:val="25"/>
          <w:lang w:val="uk-UA"/>
        </w:rPr>
        <w:t>С</w:t>
      </w:r>
      <w:r w:rsidRPr="001D5B9F">
        <w:rPr>
          <w:rFonts w:ascii="Times New Roman" w:eastAsia="Times New Roman" w:hAnsi="Times New Roman" w:cs="Times New Roman"/>
          <w:sz w:val="25"/>
          <w:szCs w:val="25"/>
          <w:lang w:val="uk-UA"/>
        </w:rPr>
        <w:t>ам кандидат не надав Комісії пояснень чи документів, які би в достатній мірі могли спростувати такий сумнів.</w:t>
      </w:r>
    </w:p>
    <w:p w:rsidR="000D17BC" w:rsidRPr="001D5B9F" w:rsidRDefault="00E47A9A">
      <w:pPr>
        <w:numPr>
          <w:ilvl w:val="0"/>
          <w:numId w:val="3"/>
        </w:numPr>
        <w:shd w:val="clear" w:color="auto" w:fill="FFFFFF"/>
        <w:spacing w:after="0" w:line="240" w:lineRule="auto"/>
        <w:ind w:left="0" w:firstLine="708"/>
        <w:jc w:val="both"/>
        <w:rPr>
          <w:rFonts w:ascii="Times New Roman" w:eastAsia="Times New Roman" w:hAnsi="Times New Roman" w:cs="Times New Roman"/>
          <w:sz w:val="25"/>
          <w:szCs w:val="25"/>
          <w:lang w:val="uk-UA"/>
        </w:rPr>
      </w:pPr>
      <w:bookmarkStart w:id="8" w:name="_heading=h.yraaeq7mdecn" w:colFirst="0" w:colLast="0"/>
      <w:bookmarkEnd w:id="8"/>
      <w:r w:rsidRPr="001D5B9F">
        <w:rPr>
          <w:rFonts w:ascii="Times New Roman" w:eastAsia="Times New Roman" w:hAnsi="Times New Roman" w:cs="Times New Roman"/>
          <w:sz w:val="25"/>
          <w:szCs w:val="25"/>
          <w:lang w:val="uk-UA"/>
        </w:rPr>
        <w:t xml:space="preserve">Водночас Комісія бере до уваги, що відповідний правочин уклав </w:t>
      </w:r>
      <w:r w:rsidR="007D2F8D" w:rsidRPr="001D5B9F">
        <w:rPr>
          <w:rFonts w:ascii="Times New Roman" w:eastAsia="Times New Roman" w:hAnsi="Times New Roman" w:cs="Times New Roman"/>
          <w:sz w:val="25"/>
          <w:szCs w:val="25"/>
          <w:lang w:val="uk-UA"/>
        </w:rPr>
        <w:t>не сам кандидат, а його дружина,</w:t>
      </w:r>
      <w:r w:rsidRPr="001D5B9F">
        <w:rPr>
          <w:rFonts w:ascii="Times New Roman" w:eastAsia="Times New Roman" w:hAnsi="Times New Roman" w:cs="Times New Roman"/>
          <w:sz w:val="25"/>
          <w:szCs w:val="25"/>
          <w:lang w:val="uk-UA"/>
        </w:rPr>
        <w:t xml:space="preserve"> </w:t>
      </w:r>
      <w:r w:rsidR="007D2F8D" w:rsidRPr="001D5B9F">
        <w:rPr>
          <w:rFonts w:ascii="Times New Roman" w:eastAsia="Times New Roman" w:hAnsi="Times New Roman" w:cs="Times New Roman"/>
          <w:sz w:val="25"/>
          <w:szCs w:val="25"/>
          <w:lang w:val="uk-UA"/>
        </w:rPr>
        <w:t>щ</w:t>
      </w:r>
      <w:r w:rsidRPr="001D5B9F">
        <w:rPr>
          <w:rFonts w:ascii="Times New Roman" w:eastAsia="Times New Roman" w:hAnsi="Times New Roman" w:cs="Times New Roman"/>
          <w:sz w:val="25"/>
          <w:szCs w:val="25"/>
          <w:lang w:val="uk-UA"/>
        </w:rPr>
        <w:t xml:space="preserve">о може свідчити про певне обмеження можливості </w:t>
      </w:r>
      <w:proofErr w:type="spellStart"/>
      <w:r w:rsidRPr="001D5B9F">
        <w:rPr>
          <w:rFonts w:ascii="Times New Roman" w:eastAsia="Times New Roman" w:hAnsi="Times New Roman" w:cs="Times New Roman"/>
          <w:sz w:val="25"/>
          <w:szCs w:val="25"/>
          <w:lang w:val="uk-UA"/>
        </w:rPr>
        <w:t>Грабчука</w:t>
      </w:r>
      <w:proofErr w:type="spellEnd"/>
      <w:r w:rsidR="007D2F8D" w:rsidRPr="001D5B9F">
        <w:rPr>
          <w:rFonts w:ascii="Times New Roman" w:eastAsia="Times New Roman" w:hAnsi="Times New Roman" w:cs="Times New Roman"/>
          <w:sz w:val="25"/>
          <w:szCs w:val="25"/>
          <w:lang w:val="uk-UA"/>
        </w:rPr>
        <w:t> </w:t>
      </w:r>
      <w:r w:rsidRPr="001D5B9F">
        <w:rPr>
          <w:rFonts w:ascii="Times New Roman" w:eastAsia="Times New Roman" w:hAnsi="Times New Roman" w:cs="Times New Roman"/>
          <w:sz w:val="25"/>
          <w:szCs w:val="25"/>
          <w:lang w:val="uk-UA"/>
        </w:rPr>
        <w:t>О.В. контролювати процес укладання договору.</w:t>
      </w:r>
    </w:p>
    <w:p w:rsidR="000D17BC" w:rsidRPr="001D5B9F" w:rsidRDefault="00E47A9A">
      <w:pPr>
        <w:numPr>
          <w:ilvl w:val="0"/>
          <w:numId w:val="3"/>
        </w:numPr>
        <w:shd w:val="clear" w:color="auto" w:fill="FFFFFF"/>
        <w:spacing w:after="0" w:line="240" w:lineRule="auto"/>
        <w:ind w:left="0" w:firstLine="708"/>
        <w:jc w:val="both"/>
        <w:rPr>
          <w:rFonts w:ascii="Times New Roman" w:eastAsia="Times New Roman" w:hAnsi="Times New Roman" w:cs="Times New Roman"/>
          <w:sz w:val="25"/>
          <w:szCs w:val="25"/>
          <w:lang w:val="uk-UA"/>
        </w:rPr>
      </w:pPr>
      <w:bookmarkStart w:id="9" w:name="_heading=h.mjupq3295x9w" w:colFirst="0" w:colLast="0"/>
      <w:bookmarkEnd w:id="9"/>
      <w:r w:rsidRPr="001D5B9F">
        <w:rPr>
          <w:rFonts w:ascii="Times New Roman" w:eastAsia="Times New Roman" w:hAnsi="Times New Roman" w:cs="Times New Roman"/>
          <w:sz w:val="25"/>
          <w:szCs w:val="25"/>
          <w:lang w:val="uk-UA"/>
        </w:rPr>
        <w:t>Отже, Комісія констатує обґрунтований сумнів щодо відповідності кандидата показнику «</w:t>
      </w:r>
      <w:r w:rsidR="007D2F8D" w:rsidRPr="001D5B9F">
        <w:rPr>
          <w:rFonts w:ascii="Times New Roman" w:eastAsia="Times New Roman" w:hAnsi="Times New Roman" w:cs="Times New Roman"/>
          <w:sz w:val="25"/>
          <w:szCs w:val="25"/>
          <w:lang w:val="uk-UA"/>
        </w:rPr>
        <w:t>Ч</w:t>
      </w:r>
      <w:r w:rsidRPr="001D5B9F">
        <w:rPr>
          <w:rFonts w:ascii="Times New Roman" w:eastAsia="Times New Roman" w:hAnsi="Times New Roman" w:cs="Times New Roman"/>
          <w:sz w:val="25"/>
          <w:szCs w:val="25"/>
          <w:lang w:val="uk-UA"/>
        </w:rPr>
        <w:t>есність».</w:t>
      </w:r>
    </w:p>
    <w:p w:rsidR="000D17BC" w:rsidRPr="001D5B9F" w:rsidRDefault="007D2F8D">
      <w:pPr>
        <w:numPr>
          <w:ilvl w:val="0"/>
          <w:numId w:val="3"/>
        </w:numPr>
        <w:pBdr>
          <w:top w:val="nil"/>
          <w:left w:val="nil"/>
          <w:bottom w:val="nil"/>
          <w:right w:val="nil"/>
          <w:between w:val="nil"/>
        </w:pBdr>
        <w:shd w:val="clear" w:color="auto" w:fill="FFFFFF"/>
        <w:spacing w:after="0" w:line="240" w:lineRule="auto"/>
        <w:ind w:left="0" w:firstLine="700"/>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У</w:t>
      </w:r>
      <w:r w:rsidR="00E47A9A" w:rsidRPr="001D5B9F">
        <w:rPr>
          <w:rFonts w:ascii="Times New Roman" w:eastAsia="Times New Roman" w:hAnsi="Times New Roman" w:cs="Times New Roman"/>
          <w:color w:val="000000"/>
          <w:sz w:val="25"/>
          <w:szCs w:val="25"/>
          <w:lang w:val="uk-UA"/>
        </w:rPr>
        <w:t>раховуючи викладене, Комісія у складі колегії одноголосно вирішила зменшити бали за критерієм професійної етики та доброчесності на 15 балів за показником «</w:t>
      </w:r>
      <w:r w:rsidR="00E47A9A" w:rsidRPr="001D5B9F">
        <w:rPr>
          <w:rFonts w:ascii="Times New Roman" w:eastAsia="Times New Roman" w:hAnsi="Times New Roman" w:cs="Times New Roman"/>
          <w:sz w:val="25"/>
          <w:szCs w:val="25"/>
          <w:lang w:val="uk-UA"/>
        </w:rPr>
        <w:t>Чесність</w:t>
      </w:r>
      <w:r w:rsidR="00E47A9A" w:rsidRPr="001D5B9F">
        <w:rPr>
          <w:rFonts w:ascii="Times New Roman" w:eastAsia="Times New Roman" w:hAnsi="Times New Roman" w:cs="Times New Roman"/>
          <w:color w:val="000000"/>
          <w:sz w:val="25"/>
          <w:szCs w:val="25"/>
          <w:lang w:val="uk-UA"/>
        </w:rPr>
        <w:t>».</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0"/>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Окрема увага членів Комісії під час співбесіди була приділена доходам кандид</w:t>
      </w:r>
      <w:r w:rsidR="007D2F8D" w:rsidRPr="001D5B9F">
        <w:rPr>
          <w:rFonts w:ascii="Times New Roman" w:eastAsia="Times New Roman" w:hAnsi="Times New Roman" w:cs="Times New Roman"/>
          <w:color w:val="000000"/>
          <w:sz w:val="25"/>
          <w:szCs w:val="25"/>
          <w:lang w:val="uk-UA"/>
        </w:rPr>
        <w:t>ата від за</w:t>
      </w:r>
      <w:r w:rsidRPr="001D5B9F">
        <w:rPr>
          <w:rFonts w:ascii="Times New Roman" w:eastAsia="Times New Roman" w:hAnsi="Times New Roman" w:cs="Times New Roman"/>
          <w:color w:val="000000"/>
          <w:sz w:val="25"/>
          <w:szCs w:val="25"/>
          <w:lang w:val="uk-UA"/>
        </w:rPr>
        <w:t>няття незалежною професійною діяльністю адвоката, відомості про які було відображено у деклараціях за 2022</w:t>
      </w:r>
      <w:r w:rsidR="007D2F8D" w:rsidRPr="001D5B9F">
        <w:rPr>
          <w:rFonts w:ascii="Times New Roman" w:eastAsia="Times New Roman" w:hAnsi="Times New Roman" w:cs="Times New Roman"/>
          <w:color w:val="000000"/>
          <w:sz w:val="25"/>
          <w:szCs w:val="25"/>
          <w:lang w:val="uk-UA"/>
        </w:rPr>
        <w:t>–</w:t>
      </w:r>
      <w:r w:rsidRPr="001D5B9F">
        <w:rPr>
          <w:rFonts w:ascii="Times New Roman" w:eastAsia="Times New Roman" w:hAnsi="Times New Roman" w:cs="Times New Roman"/>
          <w:color w:val="000000"/>
          <w:sz w:val="25"/>
          <w:szCs w:val="25"/>
          <w:lang w:val="uk-UA"/>
        </w:rPr>
        <w:t>202</w:t>
      </w:r>
      <w:r w:rsidRPr="001D5B9F">
        <w:rPr>
          <w:rFonts w:ascii="Times New Roman" w:eastAsia="Times New Roman" w:hAnsi="Times New Roman" w:cs="Times New Roman"/>
          <w:sz w:val="25"/>
          <w:szCs w:val="25"/>
          <w:lang w:val="uk-UA"/>
        </w:rPr>
        <w:t>4</w:t>
      </w:r>
      <w:r w:rsidRPr="001D5B9F">
        <w:rPr>
          <w:rFonts w:ascii="Times New Roman" w:eastAsia="Times New Roman" w:hAnsi="Times New Roman" w:cs="Times New Roman"/>
          <w:color w:val="000000"/>
          <w:sz w:val="25"/>
          <w:szCs w:val="25"/>
          <w:lang w:val="uk-UA"/>
        </w:rPr>
        <w:t xml:space="preserve"> роки.</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0"/>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Так, у 2022 році кандидатом задекларовано дохід від заняття зазначеною діяльністю </w:t>
      </w:r>
      <w:r w:rsidR="007D2F8D" w:rsidRPr="001D5B9F">
        <w:rPr>
          <w:rFonts w:ascii="Times New Roman" w:eastAsia="Times New Roman" w:hAnsi="Times New Roman" w:cs="Times New Roman"/>
          <w:color w:val="000000"/>
          <w:sz w:val="25"/>
          <w:szCs w:val="25"/>
          <w:lang w:val="uk-UA"/>
        </w:rPr>
        <w:t>в</w:t>
      </w:r>
      <w:r w:rsidRPr="001D5B9F">
        <w:rPr>
          <w:rFonts w:ascii="Times New Roman" w:eastAsia="Times New Roman" w:hAnsi="Times New Roman" w:cs="Times New Roman"/>
          <w:color w:val="000000"/>
          <w:sz w:val="25"/>
          <w:szCs w:val="25"/>
          <w:lang w:val="uk-UA"/>
        </w:rPr>
        <w:t xml:space="preserve"> розмірі 38 200 грн, у 2023 році – 42 350 грн, у 2024 році – 43 359 грн.</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0"/>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 xml:space="preserve">Під час співбесіди кандидат повідомив, що поширеним в його практиці є надання правової допомоги на безоплатній основі, чим пояснив </w:t>
      </w:r>
      <w:r w:rsidR="007D2F8D" w:rsidRPr="001D5B9F">
        <w:rPr>
          <w:rFonts w:ascii="Times New Roman" w:eastAsia="Times New Roman" w:hAnsi="Times New Roman" w:cs="Times New Roman"/>
          <w:sz w:val="25"/>
          <w:szCs w:val="25"/>
          <w:lang w:val="uk-UA"/>
        </w:rPr>
        <w:t>незначний розмір доходів від за</w:t>
      </w:r>
      <w:r w:rsidRPr="001D5B9F">
        <w:rPr>
          <w:rFonts w:ascii="Times New Roman" w:eastAsia="Times New Roman" w:hAnsi="Times New Roman" w:cs="Times New Roman"/>
          <w:sz w:val="25"/>
          <w:szCs w:val="25"/>
          <w:lang w:val="uk-UA"/>
        </w:rPr>
        <w:t>няття адвокатською діяльністю.</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5"/>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В Україні діє система безоплатної правничої допомоги. Зазначена система створена з метою захист</w:t>
      </w:r>
      <w:r w:rsidR="007D2F8D" w:rsidRPr="001D5B9F">
        <w:rPr>
          <w:rFonts w:ascii="Times New Roman" w:eastAsia="Times New Roman" w:hAnsi="Times New Roman" w:cs="Times New Roman"/>
          <w:sz w:val="25"/>
          <w:szCs w:val="25"/>
          <w:lang w:val="uk-UA"/>
        </w:rPr>
        <w:t>у</w:t>
      </w:r>
      <w:r w:rsidRPr="001D5B9F">
        <w:rPr>
          <w:rFonts w:ascii="Times New Roman" w:eastAsia="Times New Roman" w:hAnsi="Times New Roman" w:cs="Times New Roman"/>
          <w:sz w:val="25"/>
          <w:szCs w:val="25"/>
          <w:lang w:val="uk-UA"/>
        </w:rPr>
        <w:t xml:space="preserve"> прав людини шляхом забезпечення рівного доступу до правової інформації та правосуддя, посилення правових можливостей і правової спроможності представників соціально вразливих груп, територіальних громад та спільнот.</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5"/>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Водночас відповідно до відомостей</w:t>
      </w:r>
      <w:r w:rsidR="007D2F8D" w:rsidRPr="001D5B9F">
        <w:rPr>
          <w:rFonts w:ascii="Times New Roman" w:eastAsia="Times New Roman" w:hAnsi="Times New Roman" w:cs="Times New Roman"/>
          <w:sz w:val="25"/>
          <w:szCs w:val="25"/>
          <w:lang w:val="uk-UA"/>
        </w:rPr>
        <w:t xml:space="preserve">, зазначених на </w:t>
      </w:r>
      <w:proofErr w:type="spellStart"/>
      <w:r w:rsidR="007D2F8D" w:rsidRPr="001D5B9F">
        <w:rPr>
          <w:rFonts w:ascii="Times New Roman" w:eastAsia="Times New Roman" w:hAnsi="Times New Roman" w:cs="Times New Roman"/>
          <w:sz w:val="25"/>
          <w:szCs w:val="25"/>
          <w:lang w:val="uk-UA"/>
        </w:rPr>
        <w:t>веб</w:t>
      </w:r>
      <w:r w:rsidRPr="001D5B9F">
        <w:rPr>
          <w:rFonts w:ascii="Times New Roman" w:eastAsia="Times New Roman" w:hAnsi="Times New Roman" w:cs="Times New Roman"/>
          <w:sz w:val="25"/>
          <w:szCs w:val="25"/>
          <w:lang w:val="uk-UA"/>
        </w:rPr>
        <w:t>сайті</w:t>
      </w:r>
      <w:proofErr w:type="spellEnd"/>
      <w:r w:rsidRPr="001D5B9F">
        <w:rPr>
          <w:rFonts w:ascii="Times New Roman" w:eastAsia="Times New Roman" w:hAnsi="Times New Roman" w:cs="Times New Roman"/>
          <w:sz w:val="25"/>
          <w:szCs w:val="25"/>
          <w:lang w:val="uk-UA"/>
        </w:rPr>
        <w:t xml:space="preserve"> системи безоплатної правничої допомоги</w:t>
      </w:r>
      <w:r w:rsidR="007D2F8D" w:rsidRPr="001D5B9F">
        <w:rPr>
          <w:rFonts w:ascii="Times New Roman" w:eastAsia="Times New Roman" w:hAnsi="Times New Roman" w:cs="Times New Roman"/>
          <w:sz w:val="25"/>
          <w:szCs w:val="25"/>
          <w:lang w:val="uk-UA"/>
        </w:rPr>
        <w:t>,</w:t>
      </w:r>
      <w:r w:rsidRPr="001D5B9F">
        <w:rPr>
          <w:rFonts w:ascii="Times New Roman" w:eastAsia="Times New Roman" w:hAnsi="Times New Roman" w:cs="Times New Roman"/>
          <w:sz w:val="25"/>
          <w:szCs w:val="25"/>
          <w:lang w:val="uk-UA"/>
        </w:rPr>
        <w:t xml:space="preserve"> </w:t>
      </w:r>
      <w:proofErr w:type="spellStart"/>
      <w:r w:rsidRPr="001D5B9F">
        <w:rPr>
          <w:rFonts w:ascii="Times New Roman" w:eastAsia="Times New Roman" w:hAnsi="Times New Roman" w:cs="Times New Roman"/>
          <w:sz w:val="25"/>
          <w:szCs w:val="25"/>
          <w:lang w:val="uk-UA"/>
        </w:rPr>
        <w:t>Грабчук</w:t>
      </w:r>
      <w:proofErr w:type="spellEnd"/>
      <w:r w:rsidRPr="001D5B9F">
        <w:rPr>
          <w:rFonts w:ascii="Times New Roman" w:eastAsia="Times New Roman" w:hAnsi="Times New Roman" w:cs="Times New Roman"/>
          <w:sz w:val="25"/>
          <w:szCs w:val="25"/>
          <w:lang w:val="uk-UA"/>
        </w:rPr>
        <w:t xml:space="preserve"> О.В. не є адвокатом, який може залучатися до надання безоплатної вторинної правничої допомоги відповідно до Порядку і умов укладення контрактів з адвокатами, які надають безоплатну вторинну правничу допомогу на постійній основі, та договорів з адвокатами, які надають безоплатну вторинну правничу допомогу на тимчасовій основі, затверджених постановою Кабінету Міністрів України від</w:t>
      </w:r>
      <w:r w:rsidR="007D2F8D" w:rsidRPr="001D5B9F">
        <w:rPr>
          <w:rFonts w:ascii="Times New Roman" w:eastAsia="Times New Roman" w:hAnsi="Times New Roman" w:cs="Times New Roman"/>
          <w:sz w:val="25"/>
          <w:szCs w:val="25"/>
          <w:lang w:val="uk-UA"/>
        </w:rPr>
        <w:t> </w:t>
      </w:r>
      <w:r w:rsidRPr="001D5B9F">
        <w:rPr>
          <w:rFonts w:ascii="Times New Roman" w:eastAsia="Times New Roman" w:hAnsi="Times New Roman" w:cs="Times New Roman"/>
          <w:sz w:val="25"/>
          <w:szCs w:val="25"/>
          <w:lang w:val="uk-UA"/>
        </w:rPr>
        <w:t>11 січня 2012 року № 8 (у редакції постанови Кабінету Міністрів України від 19 грудня 2012 року № 1214).</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5"/>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sz w:val="25"/>
          <w:szCs w:val="25"/>
          <w:lang w:val="uk-UA"/>
        </w:rPr>
        <w:t xml:space="preserve">Також </w:t>
      </w:r>
      <w:r w:rsidR="007D2F8D" w:rsidRPr="001D5B9F">
        <w:rPr>
          <w:rFonts w:ascii="Times New Roman" w:eastAsia="Times New Roman" w:hAnsi="Times New Roman" w:cs="Times New Roman"/>
          <w:sz w:val="25"/>
          <w:szCs w:val="25"/>
          <w:lang w:val="uk-UA"/>
        </w:rPr>
        <w:t>під час</w:t>
      </w:r>
      <w:r w:rsidRPr="001D5B9F">
        <w:rPr>
          <w:rFonts w:ascii="Times New Roman" w:eastAsia="Times New Roman" w:hAnsi="Times New Roman" w:cs="Times New Roman"/>
          <w:sz w:val="25"/>
          <w:szCs w:val="25"/>
          <w:lang w:val="uk-UA"/>
        </w:rPr>
        <w:t xml:space="preserve"> співбесіди, обговор</w:t>
      </w:r>
      <w:r w:rsidR="007D2F8D" w:rsidRPr="001D5B9F">
        <w:rPr>
          <w:rFonts w:ascii="Times New Roman" w:eastAsia="Times New Roman" w:hAnsi="Times New Roman" w:cs="Times New Roman"/>
          <w:sz w:val="25"/>
          <w:szCs w:val="25"/>
          <w:lang w:val="uk-UA"/>
        </w:rPr>
        <w:t>юючи</w:t>
      </w:r>
      <w:r w:rsidRPr="001D5B9F">
        <w:rPr>
          <w:rFonts w:ascii="Times New Roman" w:eastAsia="Times New Roman" w:hAnsi="Times New Roman" w:cs="Times New Roman"/>
          <w:sz w:val="25"/>
          <w:szCs w:val="25"/>
          <w:lang w:val="uk-UA"/>
        </w:rPr>
        <w:t xml:space="preserve"> критері</w:t>
      </w:r>
      <w:r w:rsidR="007D2F8D" w:rsidRPr="001D5B9F">
        <w:rPr>
          <w:rFonts w:ascii="Times New Roman" w:eastAsia="Times New Roman" w:hAnsi="Times New Roman" w:cs="Times New Roman"/>
          <w:sz w:val="25"/>
          <w:szCs w:val="25"/>
          <w:lang w:val="uk-UA"/>
        </w:rPr>
        <w:t>й</w:t>
      </w:r>
      <w:r w:rsidRPr="001D5B9F">
        <w:rPr>
          <w:rFonts w:ascii="Times New Roman" w:eastAsia="Times New Roman" w:hAnsi="Times New Roman" w:cs="Times New Roman"/>
          <w:sz w:val="25"/>
          <w:szCs w:val="25"/>
          <w:lang w:val="uk-UA"/>
        </w:rPr>
        <w:t xml:space="preserve"> </w:t>
      </w:r>
      <w:r w:rsidR="007D2F8D" w:rsidRPr="001D5B9F">
        <w:rPr>
          <w:rFonts w:ascii="Times New Roman" w:eastAsia="Times New Roman" w:hAnsi="Times New Roman" w:cs="Times New Roman"/>
          <w:sz w:val="25"/>
          <w:szCs w:val="25"/>
          <w:lang w:val="uk-UA"/>
        </w:rPr>
        <w:t>«</w:t>
      </w:r>
      <w:r w:rsidRPr="001D5B9F">
        <w:rPr>
          <w:rFonts w:ascii="Times New Roman" w:eastAsia="Times New Roman" w:hAnsi="Times New Roman" w:cs="Times New Roman"/>
          <w:sz w:val="25"/>
          <w:szCs w:val="25"/>
          <w:lang w:val="uk-UA"/>
        </w:rPr>
        <w:t>стійкість мотивації</w:t>
      </w:r>
      <w:r w:rsidR="007D2F8D" w:rsidRPr="001D5B9F">
        <w:rPr>
          <w:rFonts w:ascii="Times New Roman" w:eastAsia="Times New Roman" w:hAnsi="Times New Roman" w:cs="Times New Roman"/>
          <w:sz w:val="25"/>
          <w:szCs w:val="25"/>
          <w:lang w:val="uk-UA"/>
        </w:rPr>
        <w:t>»,</w:t>
      </w:r>
      <w:r w:rsidRPr="001D5B9F">
        <w:rPr>
          <w:rFonts w:ascii="Times New Roman" w:eastAsia="Times New Roman" w:hAnsi="Times New Roman" w:cs="Times New Roman"/>
          <w:sz w:val="25"/>
          <w:szCs w:val="25"/>
          <w:lang w:val="uk-UA"/>
        </w:rPr>
        <w:t xml:space="preserve"> кандидат наголошував на тому, що одним із чинників його мотивації до зайняття посади судді є фінансова стабільність. Зокрема, відповідаючи на запитання члена Комісії щодо мотивації </w:t>
      </w:r>
      <w:r w:rsidR="007D2F8D" w:rsidRPr="001D5B9F">
        <w:rPr>
          <w:rFonts w:ascii="Times New Roman" w:eastAsia="Times New Roman" w:hAnsi="Times New Roman" w:cs="Times New Roman"/>
          <w:sz w:val="25"/>
          <w:szCs w:val="25"/>
          <w:lang w:val="uk-UA"/>
        </w:rPr>
        <w:t>участі в</w:t>
      </w:r>
      <w:r w:rsidRPr="001D5B9F">
        <w:rPr>
          <w:rFonts w:ascii="Times New Roman" w:eastAsia="Times New Roman" w:hAnsi="Times New Roman" w:cs="Times New Roman"/>
          <w:sz w:val="25"/>
          <w:szCs w:val="25"/>
          <w:lang w:val="uk-UA"/>
        </w:rPr>
        <w:t xml:space="preserve"> конкурсі на зайняття посади судді апеляційного суду, кандидат </w:t>
      </w:r>
      <w:r w:rsidR="007D2F8D" w:rsidRPr="001D5B9F">
        <w:rPr>
          <w:rFonts w:ascii="Times New Roman" w:eastAsia="Times New Roman" w:hAnsi="Times New Roman" w:cs="Times New Roman"/>
          <w:sz w:val="25"/>
          <w:szCs w:val="25"/>
          <w:lang w:val="uk-UA"/>
        </w:rPr>
        <w:t>сказав: «Ідучи вранці на роботу</w:t>
      </w:r>
      <w:r w:rsidRPr="001D5B9F">
        <w:rPr>
          <w:rFonts w:ascii="Times New Roman" w:eastAsia="Times New Roman" w:hAnsi="Times New Roman" w:cs="Times New Roman"/>
          <w:sz w:val="25"/>
          <w:szCs w:val="25"/>
          <w:lang w:val="uk-UA"/>
        </w:rPr>
        <w:t xml:space="preserve"> і знаючи, що </w:t>
      </w:r>
      <w:r w:rsidR="007D2F8D" w:rsidRPr="001D5B9F">
        <w:rPr>
          <w:rFonts w:ascii="Times New Roman" w:eastAsia="Times New Roman" w:hAnsi="Times New Roman" w:cs="Times New Roman"/>
          <w:sz w:val="25"/>
          <w:szCs w:val="25"/>
          <w:lang w:val="uk-UA"/>
        </w:rPr>
        <w:t>в мене сьогодні</w:t>
      </w:r>
      <w:r w:rsidRPr="001D5B9F">
        <w:rPr>
          <w:rFonts w:ascii="Times New Roman" w:eastAsia="Times New Roman" w:hAnsi="Times New Roman" w:cs="Times New Roman"/>
          <w:sz w:val="25"/>
          <w:szCs w:val="25"/>
          <w:lang w:val="uk-UA"/>
        </w:rPr>
        <w:t xml:space="preserve"> ну</w:t>
      </w:r>
      <w:r w:rsidR="007D2F8D" w:rsidRPr="001D5B9F">
        <w:rPr>
          <w:rFonts w:ascii="Times New Roman" w:eastAsia="Times New Roman" w:hAnsi="Times New Roman" w:cs="Times New Roman"/>
          <w:sz w:val="25"/>
          <w:szCs w:val="25"/>
          <w:lang w:val="uk-UA"/>
        </w:rPr>
        <w:t>,</w:t>
      </w:r>
      <w:r w:rsidRPr="001D5B9F">
        <w:rPr>
          <w:rFonts w:ascii="Times New Roman" w:eastAsia="Times New Roman" w:hAnsi="Times New Roman" w:cs="Times New Roman"/>
          <w:sz w:val="25"/>
          <w:szCs w:val="25"/>
          <w:lang w:val="uk-UA"/>
        </w:rPr>
        <w:t xml:space="preserve"> хай 50 апеляційних скарг на розгляді, і розглядаючи ці апеляційні скарги, я хочу думати про те, як вирішити ці справи. Я не хочу думати про те, чи зможу я в наступному місяці забезпечити свою родину, чи зможу я на перше вересня одягнути дітей?».</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5"/>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sz w:val="25"/>
          <w:szCs w:val="25"/>
          <w:lang w:val="uk-UA"/>
        </w:rPr>
        <w:t xml:space="preserve">Отже, Комісія бере до уваги, що кандидат не залучався до системи безоплатної правничої допомоги, системно декларував незначні доходи, повідомив Комісію про такий характер мотивації, який суперечить попереднім твердженням про послідовну практику надання безкоштовної правової допомоги. </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5"/>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 xml:space="preserve">Також Комісією встановлено, що в Єдиному державному реєстрі судових рішень (далі </w:t>
      </w:r>
      <w:r w:rsidR="007D2F8D" w:rsidRPr="001D5B9F">
        <w:rPr>
          <w:rFonts w:ascii="Times New Roman" w:eastAsia="Times New Roman" w:hAnsi="Times New Roman" w:cs="Times New Roman"/>
          <w:color w:val="000000"/>
          <w:sz w:val="25"/>
          <w:szCs w:val="25"/>
          <w:lang w:val="uk-UA"/>
        </w:rPr>
        <w:t>–</w:t>
      </w:r>
      <w:r w:rsidRPr="001D5B9F">
        <w:rPr>
          <w:rFonts w:ascii="Times New Roman" w:eastAsia="Times New Roman" w:hAnsi="Times New Roman" w:cs="Times New Roman"/>
          <w:sz w:val="25"/>
          <w:szCs w:val="25"/>
          <w:lang w:val="uk-UA"/>
        </w:rPr>
        <w:t xml:space="preserve"> ЄДРСР) міститься значна кількість відомостей щодо судових справ, які були розглянуті протягом 2022</w:t>
      </w:r>
      <w:r w:rsidR="007D2F8D" w:rsidRPr="001D5B9F">
        <w:rPr>
          <w:rFonts w:ascii="Times New Roman" w:eastAsia="Times New Roman" w:hAnsi="Times New Roman" w:cs="Times New Roman"/>
          <w:color w:val="000000"/>
          <w:sz w:val="25"/>
          <w:szCs w:val="25"/>
          <w:lang w:val="uk-UA"/>
        </w:rPr>
        <w:t>–</w:t>
      </w:r>
      <w:r w:rsidRPr="001D5B9F">
        <w:rPr>
          <w:rFonts w:ascii="Times New Roman" w:eastAsia="Times New Roman" w:hAnsi="Times New Roman" w:cs="Times New Roman"/>
          <w:sz w:val="25"/>
          <w:szCs w:val="25"/>
          <w:lang w:val="uk-UA"/>
        </w:rPr>
        <w:t xml:space="preserve">2024 років за участю </w:t>
      </w:r>
      <w:proofErr w:type="spellStart"/>
      <w:r w:rsidRPr="001D5B9F">
        <w:rPr>
          <w:rFonts w:ascii="Times New Roman" w:eastAsia="Times New Roman" w:hAnsi="Times New Roman" w:cs="Times New Roman"/>
          <w:sz w:val="25"/>
          <w:szCs w:val="25"/>
          <w:lang w:val="uk-UA"/>
        </w:rPr>
        <w:t>Грабчука</w:t>
      </w:r>
      <w:proofErr w:type="spellEnd"/>
      <w:r w:rsidRPr="001D5B9F">
        <w:rPr>
          <w:rFonts w:ascii="Times New Roman" w:eastAsia="Times New Roman" w:hAnsi="Times New Roman" w:cs="Times New Roman"/>
          <w:sz w:val="25"/>
          <w:szCs w:val="25"/>
          <w:lang w:val="uk-UA"/>
        </w:rPr>
        <w:t xml:space="preserve"> О.В. </w:t>
      </w:r>
      <w:r w:rsidR="007D2F8D" w:rsidRPr="001D5B9F">
        <w:rPr>
          <w:rFonts w:ascii="Times New Roman" w:eastAsia="Times New Roman" w:hAnsi="Times New Roman" w:cs="Times New Roman"/>
          <w:sz w:val="25"/>
          <w:szCs w:val="25"/>
          <w:lang w:val="uk-UA"/>
        </w:rPr>
        <w:t>як</w:t>
      </w:r>
      <w:r w:rsidRPr="001D5B9F">
        <w:rPr>
          <w:rFonts w:ascii="Times New Roman" w:eastAsia="Times New Roman" w:hAnsi="Times New Roman" w:cs="Times New Roman"/>
          <w:sz w:val="25"/>
          <w:szCs w:val="25"/>
          <w:lang w:val="uk-UA"/>
        </w:rPr>
        <w:t xml:space="preserve"> адвоката. Так, до прикладу, Комісією встановлено, що у ЄДРСР міститься 163 судов</w:t>
      </w:r>
      <w:r w:rsidR="007D2F8D" w:rsidRPr="001D5B9F">
        <w:rPr>
          <w:rFonts w:ascii="Times New Roman" w:eastAsia="Times New Roman" w:hAnsi="Times New Roman" w:cs="Times New Roman"/>
          <w:sz w:val="25"/>
          <w:szCs w:val="25"/>
          <w:lang w:val="uk-UA"/>
        </w:rPr>
        <w:t>і</w:t>
      </w:r>
      <w:r w:rsidRPr="001D5B9F">
        <w:rPr>
          <w:rFonts w:ascii="Times New Roman" w:eastAsia="Times New Roman" w:hAnsi="Times New Roman" w:cs="Times New Roman"/>
          <w:sz w:val="25"/>
          <w:szCs w:val="25"/>
          <w:lang w:val="uk-UA"/>
        </w:rPr>
        <w:t xml:space="preserve"> рішення, винесен</w:t>
      </w:r>
      <w:r w:rsidR="007D2F8D" w:rsidRPr="001D5B9F">
        <w:rPr>
          <w:rFonts w:ascii="Times New Roman" w:eastAsia="Times New Roman" w:hAnsi="Times New Roman" w:cs="Times New Roman"/>
          <w:sz w:val="25"/>
          <w:szCs w:val="25"/>
          <w:lang w:val="uk-UA"/>
        </w:rPr>
        <w:t>і</w:t>
      </w:r>
      <w:r w:rsidRPr="001D5B9F">
        <w:rPr>
          <w:rFonts w:ascii="Times New Roman" w:eastAsia="Times New Roman" w:hAnsi="Times New Roman" w:cs="Times New Roman"/>
          <w:sz w:val="25"/>
          <w:szCs w:val="25"/>
          <w:lang w:val="uk-UA"/>
        </w:rPr>
        <w:t xml:space="preserve"> </w:t>
      </w:r>
      <w:r w:rsidRPr="001D5B9F">
        <w:rPr>
          <w:rFonts w:ascii="Times New Roman" w:eastAsia="Times New Roman" w:hAnsi="Times New Roman" w:cs="Times New Roman"/>
          <w:sz w:val="25"/>
          <w:szCs w:val="25"/>
          <w:lang w:val="uk-UA"/>
        </w:rPr>
        <w:lastRenderedPageBreak/>
        <w:t xml:space="preserve">протягом 2022 року, у яких </w:t>
      </w:r>
      <w:proofErr w:type="spellStart"/>
      <w:r w:rsidRPr="001D5B9F">
        <w:rPr>
          <w:rFonts w:ascii="Times New Roman" w:eastAsia="Times New Roman" w:hAnsi="Times New Roman" w:cs="Times New Roman"/>
          <w:sz w:val="25"/>
          <w:szCs w:val="25"/>
          <w:lang w:val="uk-UA"/>
        </w:rPr>
        <w:t>Грабчука</w:t>
      </w:r>
      <w:proofErr w:type="spellEnd"/>
      <w:r w:rsidRPr="001D5B9F">
        <w:rPr>
          <w:rFonts w:ascii="Times New Roman" w:eastAsia="Times New Roman" w:hAnsi="Times New Roman" w:cs="Times New Roman"/>
          <w:sz w:val="25"/>
          <w:szCs w:val="25"/>
          <w:lang w:val="uk-UA"/>
        </w:rPr>
        <w:t xml:space="preserve"> О.В. зазначено захисником або ж законним представником. За цей рік кандидат декларує 38</w:t>
      </w:r>
      <w:r w:rsidR="007D2F8D" w:rsidRPr="001D5B9F">
        <w:rPr>
          <w:rFonts w:ascii="Times New Roman" w:eastAsia="Times New Roman" w:hAnsi="Times New Roman" w:cs="Times New Roman"/>
          <w:sz w:val="25"/>
          <w:szCs w:val="25"/>
          <w:lang w:val="uk-UA"/>
        </w:rPr>
        <w:t xml:space="preserve"> </w:t>
      </w:r>
      <w:r w:rsidRPr="001D5B9F">
        <w:rPr>
          <w:rFonts w:ascii="Times New Roman" w:eastAsia="Times New Roman" w:hAnsi="Times New Roman" w:cs="Times New Roman"/>
          <w:sz w:val="25"/>
          <w:szCs w:val="25"/>
          <w:lang w:val="uk-UA"/>
        </w:rPr>
        <w:t>200 грн доходу від адвокатської діяльності.</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5"/>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Комісія зауважує, що враховує виключно інформацію про судові справи</w:t>
      </w:r>
      <w:r w:rsidR="007D2F8D" w:rsidRPr="001D5B9F">
        <w:rPr>
          <w:rFonts w:ascii="Times New Roman" w:eastAsia="Times New Roman" w:hAnsi="Times New Roman" w:cs="Times New Roman"/>
          <w:sz w:val="25"/>
          <w:szCs w:val="25"/>
          <w:lang w:val="uk-UA"/>
        </w:rPr>
        <w:t>,</w:t>
      </w:r>
      <w:r w:rsidRPr="001D5B9F">
        <w:rPr>
          <w:rFonts w:ascii="Times New Roman" w:eastAsia="Times New Roman" w:hAnsi="Times New Roman" w:cs="Times New Roman"/>
          <w:sz w:val="25"/>
          <w:szCs w:val="25"/>
          <w:lang w:val="uk-UA"/>
        </w:rPr>
        <w:t xml:space="preserve"> </w:t>
      </w:r>
      <w:r w:rsidR="007D2F8D" w:rsidRPr="001D5B9F">
        <w:rPr>
          <w:rFonts w:ascii="Times New Roman" w:eastAsia="Times New Roman" w:hAnsi="Times New Roman" w:cs="Times New Roman"/>
          <w:sz w:val="25"/>
          <w:szCs w:val="25"/>
          <w:lang w:val="uk-UA"/>
        </w:rPr>
        <w:t>у</w:t>
      </w:r>
      <w:r w:rsidRPr="001D5B9F">
        <w:rPr>
          <w:rFonts w:ascii="Times New Roman" w:eastAsia="Times New Roman" w:hAnsi="Times New Roman" w:cs="Times New Roman"/>
          <w:sz w:val="25"/>
          <w:szCs w:val="25"/>
          <w:lang w:val="uk-UA"/>
        </w:rPr>
        <w:t xml:space="preserve"> яких ухвалювались рішення із згадкою про </w:t>
      </w:r>
      <w:proofErr w:type="spellStart"/>
      <w:r w:rsidRPr="001D5B9F">
        <w:rPr>
          <w:rFonts w:ascii="Times New Roman" w:eastAsia="Times New Roman" w:hAnsi="Times New Roman" w:cs="Times New Roman"/>
          <w:sz w:val="25"/>
          <w:szCs w:val="25"/>
          <w:lang w:val="uk-UA"/>
        </w:rPr>
        <w:t>Грабчука</w:t>
      </w:r>
      <w:proofErr w:type="spellEnd"/>
      <w:r w:rsidRPr="001D5B9F">
        <w:rPr>
          <w:rFonts w:ascii="Times New Roman" w:eastAsia="Times New Roman" w:hAnsi="Times New Roman" w:cs="Times New Roman"/>
          <w:sz w:val="25"/>
          <w:szCs w:val="25"/>
          <w:lang w:val="uk-UA"/>
        </w:rPr>
        <w:t xml:space="preserve"> О.В. як адвоката. Однак оминає увагою і не досліджує всю юридичну практику кандидата, яка очевидно мала місце. І навіть такі обмежені відомості щодо обсягу наданої правової допомоги, на переконання Комісії, суттєво дисонують із задекларованим доходом.</w:t>
      </w:r>
    </w:p>
    <w:p w:rsidR="000D17BC" w:rsidRPr="001D5B9F" w:rsidRDefault="007D2F8D">
      <w:pPr>
        <w:numPr>
          <w:ilvl w:val="0"/>
          <w:numId w:val="3"/>
        </w:numPr>
        <w:pBdr>
          <w:top w:val="nil"/>
          <w:left w:val="nil"/>
          <w:bottom w:val="nil"/>
          <w:right w:val="nil"/>
          <w:between w:val="nil"/>
        </w:pBdr>
        <w:shd w:val="clear" w:color="auto" w:fill="FFFFFF"/>
        <w:spacing w:after="0" w:line="240" w:lineRule="auto"/>
        <w:ind w:left="0" w:firstLine="705"/>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У</w:t>
      </w:r>
      <w:r w:rsidR="00E47A9A" w:rsidRPr="001D5B9F">
        <w:rPr>
          <w:rFonts w:ascii="Times New Roman" w:eastAsia="Times New Roman" w:hAnsi="Times New Roman" w:cs="Times New Roman"/>
          <w:sz w:val="25"/>
          <w:szCs w:val="25"/>
          <w:lang w:val="uk-UA"/>
        </w:rPr>
        <w:t xml:space="preserve">сі </w:t>
      </w:r>
      <w:r w:rsidRPr="001D5B9F">
        <w:rPr>
          <w:rFonts w:ascii="Times New Roman" w:eastAsia="Times New Roman" w:hAnsi="Times New Roman" w:cs="Times New Roman"/>
          <w:sz w:val="25"/>
          <w:szCs w:val="25"/>
          <w:lang w:val="uk-UA"/>
        </w:rPr>
        <w:t xml:space="preserve">вказані </w:t>
      </w:r>
      <w:r w:rsidR="00E47A9A" w:rsidRPr="001D5B9F">
        <w:rPr>
          <w:rFonts w:ascii="Times New Roman" w:eastAsia="Times New Roman" w:hAnsi="Times New Roman" w:cs="Times New Roman"/>
          <w:sz w:val="25"/>
          <w:szCs w:val="25"/>
          <w:lang w:val="uk-UA"/>
        </w:rPr>
        <w:t>вище обставини обумовлюють об</w:t>
      </w:r>
      <w:r w:rsidR="0053402C" w:rsidRPr="001D5B9F">
        <w:rPr>
          <w:rFonts w:ascii="Times New Roman" w:eastAsia="Times New Roman" w:hAnsi="Times New Roman" w:cs="Times New Roman"/>
          <w:sz w:val="25"/>
          <w:szCs w:val="25"/>
          <w:lang w:val="uk-UA"/>
        </w:rPr>
        <w:t>ґ</w:t>
      </w:r>
      <w:r w:rsidR="00E47A9A" w:rsidRPr="001D5B9F">
        <w:rPr>
          <w:rFonts w:ascii="Times New Roman" w:eastAsia="Times New Roman" w:hAnsi="Times New Roman" w:cs="Times New Roman"/>
          <w:sz w:val="25"/>
          <w:szCs w:val="25"/>
          <w:lang w:val="uk-UA"/>
        </w:rPr>
        <w:t xml:space="preserve">рунтований сумнів членів Комісії  </w:t>
      </w:r>
      <w:r w:rsidR="0053402C" w:rsidRPr="001D5B9F">
        <w:rPr>
          <w:rFonts w:ascii="Times New Roman" w:eastAsia="Times New Roman" w:hAnsi="Times New Roman" w:cs="Times New Roman"/>
          <w:sz w:val="25"/>
          <w:szCs w:val="25"/>
          <w:lang w:val="uk-UA"/>
        </w:rPr>
        <w:t>в</w:t>
      </w:r>
      <w:r w:rsidR="00E47A9A" w:rsidRPr="001D5B9F">
        <w:rPr>
          <w:rFonts w:ascii="Times New Roman" w:eastAsia="Times New Roman" w:hAnsi="Times New Roman" w:cs="Times New Roman"/>
          <w:sz w:val="25"/>
          <w:szCs w:val="25"/>
          <w:lang w:val="uk-UA"/>
        </w:rPr>
        <w:t xml:space="preserve"> чесності кандидата щодо декларування власного доходу.</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0"/>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Відповідно до підпункту 3 пункту 18 Єдиних показників кандидат на посаду судді відповідає показнику чесності, якщо, зокрема, але не </w:t>
      </w:r>
      <w:r w:rsidR="0053402C" w:rsidRPr="001D5B9F">
        <w:rPr>
          <w:rFonts w:ascii="Times New Roman" w:eastAsia="Times New Roman" w:hAnsi="Times New Roman" w:cs="Times New Roman"/>
          <w:color w:val="000000"/>
          <w:sz w:val="25"/>
          <w:szCs w:val="25"/>
          <w:lang w:val="uk-UA"/>
        </w:rPr>
        <w:t>виключно надав правдиві усні та</w:t>
      </w:r>
      <w:r w:rsidRPr="001D5B9F">
        <w:rPr>
          <w:rFonts w:ascii="Times New Roman" w:eastAsia="Times New Roman" w:hAnsi="Times New Roman" w:cs="Times New Roman"/>
          <w:color w:val="000000"/>
          <w:sz w:val="25"/>
          <w:szCs w:val="25"/>
          <w:lang w:val="uk-UA"/>
        </w:rPr>
        <w:t>/або письмові відомості під час участі в доборі, конкурсі, кваліфікаційному оцінюванні, дисциплінарному провадженні, інших юридичних процедурах, у яких такий кандидат на посаду судді брав та/або бере участь; не приховував таких відомостей за наявності підстав вважати, що вони були йому відомі, крім випадків, коли законодавство дозволяє відмовлятись від надання інформації.</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0"/>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У зв’язку із наведеним Комісія у складі колегії одноголосно вирішила зменшити бали кандидата за критерієм професійної етики та доброчесності на 15 балів за показником «Чесність».</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0"/>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255 балів, що є максимально можливим балом, а тому Комісія виснує, що кандидат відповідає критеріям професійної етики та доброчесності.</w:t>
      </w:r>
    </w:p>
    <w:p w:rsidR="000D17BC" w:rsidRPr="001D5B9F" w:rsidRDefault="00E47A9A">
      <w:pPr>
        <w:shd w:val="clear" w:color="auto" w:fill="FFFFFF"/>
        <w:spacing w:after="200" w:line="240" w:lineRule="auto"/>
        <w:ind w:left="709"/>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b/>
          <w:color w:val="000000"/>
          <w:sz w:val="25"/>
          <w:szCs w:val="25"/>
          <w:lang w:val="uk-UA"/>
        </w:rPr>
        <w:t>VІ. Висновки за результатами кваліфікаційного оцінювання.</w:t>
      </w:r>
    </w:p>
    <w:tbl>
      <w:tblPr>
        <w:tblStyle w:val="afe"/>
        <w:tblW w:w="9610" w:type="dxa"/>
        <w:jc w:val="center"/>
        <w:tblInd w:w="0" w:type="dxa"/>
        <w:tblLayout w:type="fixed"/>
        <w:tblLook w:val="0400" w:firstRow="0" w:lastRow="0" w:firstColumn="0" w:lastColumn="0" w:noHBand="0" w:noVBand="1"/>
      </w:tblPr>
      <w:tblGrid>
        <w:gridCol w:w="2052"/>
        <w:gridCol w:w="3975"/>
        <w:gridCol w:w="1801"/>
        <w:gridCol w:w="1782"/>
      </w:tblGrid>
      <w:tr w:rsidR="000D17BC" w:rsidRPr="001D5B9F">
        <w:trPr>
          <w:jc w:val="center"/>
        </w:trPr>
        <w:tc>
          <w:tcPr>
            <w:tcW w:w="2052" w:type="dxa"/>
            <w:tcBorders>
              <w:top w:val="single" w:sz="18" w:space="0" w:color="000000"/>
              <w:left w:val="single" w:sz="18"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b/>
                <w:color w:val="000000"/>
                <w:sz w:val="25"/>
                <w:szCs w:val="25"/>
                <w:lang w:val="uk-UA"/>
              </w:rPr>
              <w:t>КРИТЕРІЇ</w:t>
            </w:r>
          </w:p>
        </w:tc>
        <w:tc>
          <w:tcPr>
            <w:tcW w:w="3975"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b/>
                <w:color w:val="000000"/>
                <w:sz w:val="25"/>
                <w:szCs w:val="25"/>
                <w:lang w:val="uk-UA"/>
              </w:rPr>
              <w:t>ПОКАЗНИКИ</w:t>
            </w:r>
          </w:p>
        </w:tc>
        <w:tc>
          <w:tcPr>
            <w:tcW w:w="1801"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b/>
                <w:color w:val="000000"/>
                <w:sz w:val="25"/>
                <w:szCs w:val="25"/>
                <w:lang w:val="uk-UA"/>
              </w:rPr>
              <w:t>РЕЗУЛЬТАТ </w:t>
            </w:r>
            <w:r w:rsidRPr="001D5B9F">
              <w:rPr>
                <w:rFonts w:ascii="Times New Roman" w:eastAsia="Times New Roman" w:hAnsi="Times New Roman" w:cs="Times New Roman"/>
                <w:b/>
                <w:color w:val="000000"/>
                <w:sz w:val="25"/>
                <w:szCs w:val="25"/>
                <w:lang w:val="uk-UA"/>
              </w:rPr>
              <w:br/>
              <w:t>(за показником)</w:t>
            </w:r>
          </w:p>
        </w:tc>
        <w:tc>
          <w:tcPr>
            <w:tcW w:w="1782" w:type="dxa"/>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b/>
                <w:color w:val="000000"/>
                <w:sz w:val="25"/>
                <w:szCs w:val="25"/>
                <w:lang w:val="uk-UA"/>
              </w:rPr>
              <w:t>РЕЗУЛЬТАТ </w:t>
            </w:r>
            <w:r w:rsidRPr="001D5B9F">
              <w:rPr>
                <w:rFonts w:ascii="Times New Roman" w:eastAsia="Times New Roman" w:hAnsi="Times New Roman" w:cs="Times New Roman"/>
                <w:b/>
                <w:color w:val="000000"/>
                <w:sz w:val="25"/>
                <w:szCs w:val="25"/>
                <w:lang w:val="uk-UA"/>
              </w:rPr>
              <w:br/>
              <w:t>(за критерієм)</w:t>
            </w:r>
          </w:p>
        </w:tc>
      </w:tr>
      <w:tr w:rsidR="000D17BC" w:rsidRPr="001D5B9F">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Професійна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Когнітивні здібності</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49,2</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362,7</w:t>
            </w:r>
          </w:p>
        </w:tc>
      </w:tr>
      <w:tr w:rsidR="000D17BC" w:rsidRPr="001D5B9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Знання історії української державності</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40</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Знання у сфері права та спеціалізації суду</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147</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Здатність практичного застосування знань у сфері права у суді відповідного рівня та спеціалізації</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126,5</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Особиста компетентність</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Рішучість та відповідальність</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19</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38,333</w:t>
            </w:r>
          </w:p>
        </w:tc>
      </w:tr>
      <w:tr w:rsidR="000D17BC" w:rsidRPr="001D5B9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Безперервний розвиток</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19,33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Соціальна компетентність</w:t>
            </w:r>
          </w:p>
          <w:p w:rsidR="000D17BC" w:rsidRPr="001D5B9F" w:rsidRDefault="000D17BC">
            <w:pPr>
              <w:spacing w:after="0" w:line="240" w:lineRule="auto"/>
              <w:rPr>
                <w:rFonts w:ascii="Times New Roman" w:eastAsia="Times New Roman" w:hAnsi="Times New Roman" w:cs="Times New Roman"/>
                <w:sz w:val="25"/>
                <w:szCs w:val="25"/>
                <w:lang w:val="uk-UA"/>
              </w:rPr>
            </w:pP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Ефективна комунікація</w:t>
            </w:r>
          </w:p>
        </w:tc>
        <w:tc>
          <w:tcPr>
            <w:tcW w:w="1801"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9</w:t>
            </w: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37,667</w:t>
            </w:r>
          </w:p>
        </w:tc>
      </w:tr>
      <w:tr w:rsidR="000D17BC" w:rsidRPr="001D5B9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Ефективна взаємодія</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9</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Стійкість мотивації</w:t>
            </w:r>
          </w:p>
        </w:tc>
        <w:tc>
          <w:tcPr>
            <w:tcW w:w="1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10,33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Емоційна стійкість</w:t>
            </w:r>
          </w:p>
        </w:tc>
        <w:tc>
          <w:tcPr>
            <w:tcW w:w="1801"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9,33</w:t>
            </w: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jc w:val="center"/>
        </w:trPr>
        <w:tc>
          <w:tcPr>
            <w:tcW w:w="205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Доброчесність та професійна етика</w:t>
            </w:r>
          </w:p>
        </w:tc>
        <w:tc>
          <w:tcPr>
            <w:tcW w:w="3975" w:type="dxa"/>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Незалежність</w:t>
            </w:r>
          </w:p>
        </w:tc>
        <w:tc>
          <w:tcPr>
            <w:tcW w:w="1801" w:type="dxa"/>
            <w:vMerge w:val="restart"/>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0D17BC" w:rsidRPr="001D5B9F" w:rsidRDefault="000D17BC">
            <w:pPr>
              <w:spacing w:after="0" w:line="240" w:lineRule="auto"/>
              <w:rPr>
                <w:rFonts w:ascii="Times New Roman" w:eastAsia="Times New Roman" w:hAnsi="Times New Roman" w:cs="Times New Roman"/>
                <w:sz w:val="25"/>
                <w:szCs w:val="25"/>
                <w:lang w:val="uk-UA"/>
              </w:rPr>
            </w:pPr>
          </w:p>
        </w:tc>
        <w:tc>
          <w:tcPr>
            <w:tcW w:w="1782" w:type="dxa"/>
            <w:vMerge w:val="restart"/>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255</w:t>
            </w:r>
          </w:p>
        </w:tc>
      </w:tr>
      <w:tr w:rsidR="000D17BC" w:rsidRPr="001D5B9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Чесність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Неупередженість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Сумлінність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Непідкупність</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Дотримання етичних норм і бездоганна поведінка у професійній діяльності та особистому житті</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jc w:val="center"/>
        </w:trPr>
        <w:tc>
          <w:tcPr>
            <w:tcW w:w="2052" w:type="dxa"/>
            <w:vMerge/>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3975" w:type="dxa"/>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0D17BC" w:rsidRPr="001D5B9F" w:rsidRDefault="00E47A9A">
            <w:pPr>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801" w:type="dxa"/>
            <w:vMerge/>
            <w:tcBorders>
              <w:top w:val="single" w:sz="18" w:space="0" w:color="000000"/>
              <w:left w:val="single" w:sz="4" w:space="0" w:color="000000"/>
              <w:bottom w:val="single" w:sz="18" w:space="0" w:color="000000"/>
              <w:right w:val="single" w:sz="4" w:space="0" w:color="000000"/>
            </w:tcBorders>
            <w:shd w:val="clear" w:color="auto" w:fill="F2F2F2"/>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c>
          <w:tcPr>
            <w:tcW w:w="1782" w:type="dxa"/>
            <w:vMerge/>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0D17BC">
            <w:pPr>
              <w:widowControl w:val="0"/>
              <w:pBdr>
                <w:top w:val="nil"/>
                <w:left w:val="nil"/>
                <w:bottom w:val="nil"/>
                <w:right w:val="nil"/>
                <w:between w:val="nil"/>
              </w:pBdr>
              <w:spacing w:after="0" w:line="276" w:lineRule="auto"/>
              <w:rPr>
                <w:rFonts w:ascii="Times New Roman" w:eastAsia="Times New Roman" w:hAnsi="Times New Roman" w:cs="Times New Roman"/>
                <w:sz w:val="25"/>
                <w:szCs w:val="25"/>
                <w:lang w:val="uk-UA"/>
              </w:rPr>
            </w:pPr>
          </w:p>
        </w:tc>
      </w:tr>
      <w:tr w:rsidR="000D17BC" w:rsidRPr="001D5B9F">
        <w:trPr>
          <w:jc w:val="center"/>
        </w:trPr>
        <w:tc>
          <w:tcPr>
            <w:tcW w:w="2052" w:type="dxa"/>
            <w:tcBorders>
              <w:top w:val="single" w:sz="18" w:space="0" w:color="000000"/>
            </w:tcBorders>
            <w:tcMar>
              <w:top w:w="0" w:type="dxa"/>
              <w:left w:w="108" w:type="dxa"/>
              <w:bottom w:w="0" w:type="dxa"/>
              <w:right w:w="108" w:type="dxa"/>
            </w:tcMar>
          </w:tcPr>
          <w:p w:rsidR="000D17BC" w:rsidRPr="001D5B9F" w:rsidRDefault="000D17BC">
            <w:pPr>
              <w:spacing w:after="0" w:line="240" w:lineRule="auto"/>
              <w:rPr>
                <w:rFonts w:ascii="Times New Roman" w:eastAsia="Times New Roman" w:hAnsi="Times New Roman" w:cs="Times New Roman"/>
                <w:sz w:val="25"/>
                <w:szCs w:val="25"/>
                <w:lang w:val="uk-UA"/>
              </w:rPr>
            </w:pPr>
          </w:p>
        </w:tc>
        <w:tc>
          <w:tcPr>
            <w:tcW w:w="3975" w:type="dxa"/>
            <w:tcBorders>
              <w:top w:val="single" w:sz="18" w:space="0" w:color="000000"/>
              <w:right w:val="single" w:sz="18" w:space="0" w:color="000000"/>
            </w:tcBorders>
            <w:tcMar>
              <w:top w:w="0" w:type="dxa"/>
              <w:left w:w="108" w:type="dxa"/>
              <w:bottom w:w="0" w:type="dxa"/>
              <w:right w:w="108" w:type="dxa"/>
            </w:tcMar>
          </w:tcPr>
          <w:p w:rsidR="000D17BC" w:rsidRPr="001D5B9F" w:rsidRDefault="000D17BC">
            <w:pPr>
              <w:spacing w:after="0" w:line="240" w:lineRule="auto"/>
              <w:rPr>
                <w:rFonts w:ascii="Times New Roman" w:eastAsia="Times New Roman" w:hAnsi="Times New Roman" w:cs="Times New Roman"/>
                <w:sz w:val="25"/>
                <w:szCs w:val="25"/>
                <w:lang w:val="uk-UA"/>
              </w:rPr>
            </w:pPr>
          </w:p>
        </w:tc>
        <w:tc>
          <w:tcPr>
            <w:tcW w:w="1801" w:type="dxa"/>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Загальний бал</w:t>
            </w:r>
          </w:p>
        </w:tc>
        <w:tc>
          <w:tcPr>
            <w:tcW w:w="1782" w:type="dxa"/>
            <w:tcBorders>
              <w:top w:val="single" w:sz="18"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tcPr>
          <w:p w:rsidR="000D17BC" w:rsidRPr="001D5B9F" w:rsidRDefault="00E47A9A">
            <w:pPr>
              <w:spacing w:after="0" w:line="240" w:lineRule="auto"/>
              <w:jc w:val="center"/>
              <w:rPr>
                <w:rFonts w:ascii="Times New Roman" w:eastAsia="Times New Roman" w:hAnsi="Times New Roman" w:cs="Times New Roman"/>
                <w:sz w:val="25"/>
                <w:szCs w:val="25"/>
                <w:lang w:val="uk-UA"/>
              </w:rPr>
            </w:pPr>
            <w:r w:rsidRPr="001D5B9F">
              <w:rPr>
                <w:rFonts w:ascii="Times New Roman" w:eastAsia="Times New Roman" w:hAnsi="Times New Roman" w:cs="Times New Roman"/>
                <w:sz w:val="25"/>
                <w:szCs w:val="25"/>
                <w:lang w:val="uk-UA"/>
              </w:rPr>
              <w:t>693,7</w:t>
            </w:r>
          </w:p>
        </w:tc>
      </w:tr>
    </w:tbl>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Згідно з абзацом другим частини першої статті 88 Закону, 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 xml:space="preserve">Отже, у зв’язку з наявністю висновку ГРД питання про підтвердження або </w:t>
      </w:r>
      <w:proofErr w:type="spellStart"/>
      <w:r w:rsidRPr="001D5B9F">
        <w:rPr>
          <w:rFonts w:ascii="Times New Roman" w:eastAsia="Times New Roman" w:hAnsi="Times New Roman" w:cs="Times New Roman"/>
          <w:color w:val="000000"/>
          <w:sz w:val="25"/>
          <w:szCs w:val="25"/>
          <w:lang w:val="uk-UA"/>
        </w:rPr>
        <w:t>непідтвердження</w:t>
      </w:r>
      <w:proofErr w:type="spellEnd"/>
      <w:r w:rsidRPr="001D5B9F">
        <w:rPr>
          <w:rFonts w:ascii="Times New Roman" w:eastAsia="Times New Roman" w:hAnsi="Times New Roman" w:cs="Times New Roman"/>
          <w:color w:val="000000"/>
          <w:sz w:val="25"/>
          <w:szCs w:val="25"/>
          <w:lang w:val="uk-UA"/>
        </w:rPr>
        <w:t xml:space="preserve"> здатності кандидата на посаду судді апеляційного адміністративного суду </w:t>
      </w:r>
      <w:proofErr w:type="spellStart"/>
      <w:r w:rsidRPr="001D5B9F">
        <w:rPr>
          <w:rFonts w:ascii="Times New Roman" w:eastAsia="Times New Roman" w:hAnsi="Times New Roman" w:cs="Times New Roman"/>
          <w:color w:val="000000"/>
          <w:sz w:val="25"/>
          <w:szCs w:val="25"/>
          <w:lang w:val="uk-UA"/>
        </w:rPr>
        <w:t>Грабчука</w:t>
      </w:r>
      <w:proofErr w:type="spellEnd"/>
      <w:r w:rsidRPr="001D5B9F">
        <w:rPr>
          <w:rFonts w:ascii="Times New Roman" w:eastAsia="Times New Roman" w:hAnsi="Times New Roman" w:cs="Times New Roman"/>
          <w:color w:val="000000"/>
          <w:sz w:val="25"/>
          <w:szCs w:val="25"/>
          <w:lang w:val="uk-UA"/>
        </w:rPr>
        <w:t xml:space="preserve"> Олександра Васильовича здійснювати правосуддя в апеляційному адміністративному суді повинно вирішуватися Комісією у пленарному складі.</w:t>
      </w:r>
    </w:p>
    <w:p w:rsidR="000D17BC" w:rsidRPr="001D5B9F" w:rsidRDefault="00E47A9A">
      <w:pPr>
        <w:numPr>
          <w:ilvl w:val="0"/>
          <w:numId w:val="3"/>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0D17BC" w:rsidRPr="001D5B9F" w:rsidRDefault="000D17BC">
      <w:p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sz w:val="25"/>
          <w:szCs w:val="25"/>
          <w:lang w:val="uk-UA"/>
        </w:rPr>
      </w:pPr>
    </w:p>
    <w:p w:rsidR="000D17BC" w:rsidRPr="001D5B9F" w:rsidRDefault="00E47A9A">
      <w:pPr>
        <w:shd w:val="clear" w:color="auto" w:fill="FFFFFF"/>
        <w:spacing w:after="0" w:line="240" w:lineRule="auto"/>
        <w:jc w:val="center"/>
        <w:rPr>
          <w:rFonts w:ascii="Times New Roman" w:eastAsia="Times New Roman" w:hAnsi="Times New Roman" w:cs="Times New Roman"/>
          <w:color w:val="000000"/>
          <w:sz w:val="25"/>
          <w:szCs w:val="25"/>
          <w:lang w:val="uk-UA"/>
        </w:rPr>
      </w:pPr>
      <w:r w:rsidRPr="001D5B9F">
        <w:rPr>
          <w:rFonts w:ascii="Times New Roman" w:eastAsia="Times New Roman" w:hAnsi="Times New Roman" w:cs="Times New Roman"/>
          <w:color w:val="000000"/>
          <w:sz w:val="25"/>
          <w:szCs w:val="25"/>
          <w:lang w:val="uk-UA"/>
        </w:rPr>
        <w:t>вирішила:</w:t>
      </w:r>
    </w:p>
    <w:p w:rsidR="000D17BC" w:rsidRPr="001D5B9F" w:rsidRDefault="000D17BC">
      <w:pPr>
        <w:shd w:val="clear" w:color="auto" w:fill="FFFFFF"/>
        <w:spacing w:after="0" w:line="240" w:lineRule="auto"/>
        <w:jc w:val="center"/>
        <w:rPr>
          <w:rFonts w:ascii="Times New Roman" w:eastAsia="Times New Roman" w:hAnsi="Times New Roman" w:cs="Times New Roman"/>
          <w:sz w:val="25"/>
          <w:szCs w:val="25"/>
          <w:lang w:val="uk-UA"/>
        </w:rPr>
      </w:pPr>
    </w:p>
    <w:p w:rsidR="000D17BC" w:rsidRPr="001D5B9F" w:rsidRDefault="00E47A9A">
      <w:pPr>
        <w:spacing w:after="0" w:line="240" w:lineRule="auto"/>
        <w:ind w:firstLine="709"/>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 xml:space="preserve">1.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1D5B9F">
        <w:rPr>
          <w:rFonts w:ascii="Times New Roman" w:eastAsia="Times New Roman" w:hAnsi="Times New Roman" w:cs="Times New Roman"/>
          <w:color w:val="000000"/>
          <w:sz w:val="25"/>
          <w:szCs w:val="25"/>
          <w:lang w:val="uk-UA"/>
        </w:rPr>
        <w:t>Грабчук</w:t>
      </w:r>
      <w:proofErr w:type="spellEnd"/>
      <w:r w:rsidRPr="001D5B9F">
        <w:rPr>
          <w:rFonts w:ascii="Times New Roman" w:eastAsia="Times New Roman" w:hAnsi="Times New Roman" w:cs="Times New Roman"/>
          <w:color w:val="000000"/>
          <w:sz w:val="25"/>
          <w:szCs w:val="25"/>
          <w:lang w:val="uk-UA"/>
        </w:rPr>
        <w:t xml:space="preserve"> Олександр Васильович набрав </w:t>
      </w:r>
      <w:r w:rsidRPr="001D5B9F">
        <w:rPr>
          <w:rFonts w:ascii="Times New Roman" w:eastAsia="Times New Roman" w:hAnsi="Times New Roman" w:cs="Times New Roman"/>
          <w:sz w:val="25"/>
          <w:szCs w:val="25"/>
          <w:lang w:val="uk-UA"/>
        </w:rPr>
        <w:t>693</w:t>
      </w:r>
      <w:r w:rsidRPr="001D5B9F">
        <w:rPr>
          <w:rFonts w:ascii="Times New Roman" w:eastAsia="Times New Roman" w:hAnsi="Times New Roman" w:cs="Times New Roman"/>
          <w:color w:val="000000"/>
          <w:sz w:val="25"/>
          <w:szCs w:val="25"/>
          <w:lang w:val="uk-UA"/>
        </w:rPr>
        <w:t>,</w:t>
      </w:r>
      <w:r w:rsidRPr="001D5B9F">
        <w:rPr>
          <w:rFonts w:ascii="Times New Roman" w:eastAsia="Times New Roman" w:hAnsi="Times New Roman" w:cs="Times New Roman"/>
          <w:sz w:val="25"/>
          <w:szCs w:val="25"/>
          <w:lang w:val="uk-UA"/>
        </w:rPr>
        <w:t>7</w:t>
      </w:r>
      <w:r w:rsidRPr="001D5B9F">
        <w:rPr>
          <w:rFonts w:ascii="Times New Roman" w:eastAsia="Times New Roman" w:hAnsi="Times New Roman" w:cs="Times New Roman"/>
          <w:color w:val="000000"/>
          <w:sz w:val="25"/>
          <w:szCs w:val="25"/>
          <w:lang w:val="uk-UA"/>
        </w:rPr>
        <w:t xml:space="preserve"> </w:t>
      </w:r>
      <w:proofErr w:type="spellStart"/>
      <w:r w:rsidRPr="001D5B9F">
        <w:rPr>
          <w:rFonts w:ascii="Times New Roman" w:eastAsia="Times New Roman" w:hAnsi="Times New Roman" w:cs="Times New Roman"/>
          <w:color w:val="000000"/>
          <w:sz w:val="25"/>
          <w:szCs w:val="25"/>
          <w:lang w:val="uk-UA"/>
        </w:rPr>
        <w:t>бала</w:t>
      </w:r>
      <w:proofErr w:type="spellEnd"/>
      <w:r w:rsidRPr="001D5B9F">
        <w:rPr>
          <w:rFonts w:ascii="Times New Roman" w:eastAsia="Times New Roman" w:hAnsi="Times New Roman" w:cs="Times New Roman"/>
          <w:color w:val="000000"/>
          <w:sz w:val="25"/>
          <w:szCs w:val="25"/>
          <w:lang w:val="uk-UA"/>
        </w:rPr>
        <w:t>.</w:t>
      </w:r>
    </w:p>
    <w:p w:rsidR="000D17BC" w:rsidRPr="001D5B9F" w:rsidRDefault="00E47A9A">
      <w:pPr>
        <w:spacing w:after="0" w:line="240" w:lineRule="auto"/>
        <w:ind w:firstLine="709"/>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 xml:space="preserve">2. </w:t>
      </w:r>
      <w:proofErr w:type="spellStart"/>
      <w:r w:rsidRPr="001D5B9F">
        <w:rPr>
          <w:rFonts w:ascii="Times New Roman" w:eastAsia="Times New Roman" w:hAnsi="Times New Roman" w:cs="Times New Roman"/>
          <w:color w:val="000000"/>
          <w:sz w:val="25"/>
          <w:szCs w:val="25"/>
          <w:lang w:val="uk-UA"/>
        </w:rPr>
        <w:t>Внести</w:t>
      </w:r>
      <w:proofErr w:type="spellEnd"/>
      <w:r w:rsidRPr="001D5B9F">
        <w:rPr>
          <w:rFonts w:ascii="Times New Roman" w:eastAsia="Times New Roman" w:hAnsi="Times New Roman" w:cs="Times New Roman"/>
          <w:color w:val="000000"/>
          <w:sz w:val="25"/>
          <w:szCs w:val="25"/>
          <w:lang w:val="uk-UA"/>
        </w:rPr>
        <w:t xml:space="preserve"> на розгляд Комісії у пленарному складі питання </w:t>
      </w:r>
      <w:r w:rsidRPr="001D5B9F">
        <w:rPr>
          <w:rFonts w:ascii="Times New Roman" w:eastAsia="Times New Roman" w:hAnsi="Times New Roman" w:cs="Times New Roman"/>
          <w:sz w:val="25"/>
          <w:szCs w:val="25"/>
          <w:lang w:val="uk-UA"/>
        </w:rPr>
        <w:t>щодо</w:t>
      </w:r>
      <w:r w:rsidRPr="001D5B9F">
        <w:rPr>
          <w:rFonts w:ascii="Times New Roman" w:eastAsia="Times New Roman" w:hAnsi="Times New Roman" w:cs="Times New Roman"/>
          <w:color w:val="000000"/>
          <w:sz w:val="25"/>
          <w:szCs w:val="25"/>
          <w:lang w:val="uk-UA"/>
        </w:rPr>
        <w:t xml:space="preserve"> здатності </w:t>
      </w:r>
      <w:proofErr w:type="spellStart"/>
      <w:r w:rsidRPr="001D5B9F">
        <w:rPr>
          <w:rFonts w:ascii="Times New Roman" w:eastAsia="Times New Roman" w:hAnsi="Times New Roman" w:cs="Times New Roman"/>
          <w:color w:val="000000"/>
          <w:sz w:val="25"/>
          <w:szCs w:val="25"/>
          <w:lang w:val="uk-UA"/>
        </w:rPr>
        <w:t>Грабчука</w:t>
      </w:r>
      <w:proofErr w:type="spellEnd"/>
      <w:r w:rsidRPr="001D5B9F">
        <w:rPr>
          <w:rFonts w:ascii="Times New Roman" w:eastAsia="Times New Roman" w:hAnsi="Times New Roman" w:cs="Times New Roman"/>
          <w:color w:val="000000"/>
          <w:sz w:val="25"/>
          <w:szCs w:val="25"/>
          <w:lang w:val="uk-UA"/>
        </w:rPr>
        <w:t xml:space="preserve"> Олександра Васильовича здійснювати правосуддя в апеляційному загальному суді.</w:t>
      </w:r>
    </w:p>
    <w:p w:rsidR="000D17BC" w:rsidRPr="001D5B9F" w:rsidRDefault="000D17BC">
      <w:pPr>
        <w:shd w:val="clear" w:color="auto" w:fill="FFFFFF"/>
        <w:spacing w:after="0" w:line="240" w:lineRule="auto"/>
        <w:jc w:val="both"/>
        <w:rPr>
          <w:rFonts w:ascii="Times New Roman" w:eastAsia="Times New Roman" w:hAnsi="Times New Roman" w:cs="Times New Roman"/>
          <w:sz w:val="25"/>
          <w:szCs w:val="25"/>
          <w:lang w:val="uk-UA"/>
        </w:rPr>
      </w:pPr>
    </w:p>
    <w:p w:rsidR="000D17BC" w:rsidRPr="001D5B9F" w:rsidRDefault="000D17BC">
      <w:pPr>
        <w:shd w:val="clear" w:color="auto" w:fill="FFFFFF"/>
        <w:spacing w:after="0" w:line="240" w:lineRule="auto"/>
        <w:jc w:val="both"/>
        <w:rPr>
          <w:rFonts w:ascii="Times New Roman" w:eastAsia="Times New Roman" w:hAnsi="Times New Roman" w:cs="Times New Roman"/>
          <w:sz w:val="25"/>
          <w:szCs w:val="25"/>
          <w:lang w:val="uk-UA"/>
        </w:rPr>
      </w:pPr>
    </w:p>
    <w:p w:rsidR="000D17BC" w:rsidRPr="001D5B9F" w:rsidRDefault="00E47A9A">
      <w:pPr>
        <w:shd w:val="clear" w:color="auto" w:fill="FFFFFF"/>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 xml:space="preserve">Головуючий </w:t>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t>Сергій ЧУМАК</w:t>
      </w:r>
    </w:p>
    <w:p w:rsidR="000D17BC" w:rsidRPr="001D5B9F" w:rsidRDefault="000D17BC">
      <w:pPr>
        <w:shd w:val="clear" w:color="auto" w:fill="FFFFFF"/>
        <w:spacing w:after="0" w:line="240" w:lineRule="auto"/>
        <w:jc w:val="both"/>
        <w:rPr>
          <w:rFonts w:ascii="Times New Roman" w:eastAsia="Times New Roman" w:hAnsi="Times New Roman" w:cs="Times New Roman"/>
          <w:sz w:val="28"/>
          <w:szCs w:val="28"/>
          <w:lang w:val="uk-UA"/>
        </w:rPr>
      </w:pPr>
    </w:p>
    <w:p w:rsidR="000D17BC" w:rsidRPr="001D5B9F" w:rsidRDefault="00E47A9A">
      <w:pPr>
        <w:shd w:val="clear" w:color="auto" w:fill="FFFFFF"/>
        <w:spacing w:after="0" w:line="240" w:lineRule="auto"/>
        <w:jc w:val="both"/>
        <w:rPr>
          <w:rFonts w:ascii="Times New Roman" w:eastAsia="Times New Roman" w:hAnsi="Times New Roman" w:cs="Times New Roman"/>
          <w:sz w:val="25"/>
          <w:szCs w:val="25"/>
          <w:lang w:val="uk-UA"/>
        </w:rPr>
      </w:pPr>
      <w:bookmarkStart w:id="10" w:name="_heading=h.sf1wa8q74y8v" w:colFirst="0" w:colLast="0"/>
      <w:bookmarkEnd w:id="10"/>
      <w:r w:rsidRPr="001D5B9F">
        <w:rPr>
          <w:rFonts w:ascii="Times New Roman" w:eastAsia="Times New Roman" w:hAnsi="Times New Roman" w:cs="Times New Roman"/>
          <w:color w:val="000000"/>
          <w:sz w:val="25"/>
          <w:szCs w:val="25"/>
          <w:lang w:val="uk-UA"/>
        </w:rPr>
        <w:t>Члени Комісії:</w:t>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t>Андрій ПАСІЧНИК</w:t>
      </w:r>
    </w:p>
    <w:p w:rsidR="000D17BC" w:rsidRPr="001D5B9F" w:rsidRDefault="000D17BC">
      <w:pPr>
        <w:shd w:val="clear" w:color="auto" w:fill="FFFFFF"/>
        <w:spacing w:after="0" w:line="240" w:lineRule="auto"/>
        <w:jc w:val="both"/>
        <w:rPr>
          <w:rFonts w:ascii="Times New Roman" w:eastAsia="Times New Roman" w:hAnsi="Times New Roman" w:cs="Times New Roman"/>
          <w:sz w:val="28"/>
          <w:szCs w:val="28"/>
          <w:lang w:val="uk-UA"/>
        </w:rPr>
      </w:pPr>
    </w:p>
    <w:p w:rsidR="000D17BC" w:rsidRPr="001D5B9F" w:rsidRDefault="00E47A9A">
      <w:pPr>
        <w:shd w:val="clear" w:color="auto" w:fill="FFFFFF"/>
        <w:spacing w:after="0" w:line="240" w:lineRule="auto"/>
        <w:jc w:val="both"/>
        <w:rPr>
          <w:rFonts w:ascii="Times New Roman" w:eastAsia="Times New Roman" w:hAnsi="Times New Roman" w:cs="Times New Roman"/>
          <w:sz w:val="25"/>
          <w:szCs w:val="25"/>
          <w:lang w:val="uk-UA"/>
        </w:rPr>
      </w:pP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r>
      <w:r w:rsidRPr="001D5B9F">
        <w:rPr>
          <w:rFonts w:ascii="Times New Roman" w:eastAsia="Times New Roman" w:hAnsi="Times New Roman" w:cs="Times New Roman"/>
          <w:color w:val="000000"/>
          <w:sz w:val="25"/>
          <w:szCs w:val="25"/>
          <w:lang w:val="uk-UA"/>
        </w:rPr>
        <w:tab/>
        <w:t>Роман САБОДАШ</w:t>
      </w:r>
    </w:p>
    <w:sectPr w:rsidR="000D17BC" w:rsidRPr="001D5B9F">
      <w:headerReference w:type="default" r:id="rId9"/>
      <w:pgSz w:w="11906" w:h="16838"/>
      <w:pgMar w:top="1134" w:right="567"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252F" w:rsidRDefault="00E8252F">
      <w:pPr>
        <w:spacing w:after="0" w:line="240" w:lineRule="auto"/>
      </w:pPr>
      <w:r>
        <w:separator/>
      </w:r>
    </w:p>
  </w:endnote>
  <w:endnote w:type="continuationSeparator" w:id="0">
    <w:p w:rsidR="00E8252F" w:rsidRDefault="00E82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252F" w:rsidRDefault="00E8252F">
      <w:pPr>
        <w:spacing w:after="0" w:line="240" w:lineRule="auto"/>
      </w:pPr>
      <w:r>
        <w:separator/>
      </w:r>
    </w:p>
  </w:footnote>
  <w:footnote w:type="continuationSeparator" w:id="0">
    <w:p w:rsidR="00E8252F" w:rsidRDefault="00E82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17BC" w:rsidRDefault="00E47A9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3402C">
      <w:rPr>
        <w:noProof/>
        <w:color w:val="000000"/>
      </w:rPr>
      <w:t>14</w:t>
    </w:r>
    <w:r>
      <w:rPr>
        <w:color w:val="000000"/>
      </w:rPr>
      <w:fldChar w:fldCharType="end"/>
    </w:r>
  </w:p>
  <w:p w:rsidR="000D17BC" w:rsidRDefault="000D17BC">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4F02"/>
    <w:multiLevelType w:val="multilevel"/>
    <w:tmpl w:val="8820DB24"/>
    <w:lvl w:ilvl="0">
      <w:start w:val="48"/>
      <w:numFmt w:val="decimal"/>
      <w:lvlText w:val="%1."/>
      <w:lvlJc w:val="left"/>
      <w:pPr>
        <w:ind w:left="465" w:hanging="465"/>
      </w:pPr>
    </w:lvl>
    <w:lvl w:ilvl="1">
      <w:start w:val="1"/>
      <w:numFmt w:val="decimal"/>
      <w:lvlText w:val="47.%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0E6B5228"/>
    <w:multiLevelType w:val="multilevel"/>
    <w:tmpl w:val="35160B38"/>
    <w:lvl w:ilvl="0">
      <w:start w:val="7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4E650D"/>
    <w:multiLevelType w:val="multilevel"/>
    <w:tmpl w:val="BFF6EDCC"/>
    <w:lvl w:ilvl="0">
      <w:start w:val="63"/>
      <w:numFmt w:val="decimal"/>
      <w:lvlText w:val="%1."/>
      <w:lvlJc w:val="left"/>
      <w:pPr>
        <w:ind w:left="465" w:hanging="465"/>
      </w:pPr>
    </w:lvl>
    <w:lvl w:ilvl="1">
      <w:start w:val="2"/>
      <w:numFmt w:val="decimal"/>
      <w:lvlText w:val="62.%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 w15:restartNumberingAfterBreak="0">
    <w:nsid w:val="3FBB23C8"/>
    <w:multiLevelType w:val="multilevel"/>
    <w:tmpl w:val="D2C69F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556D041D"/>
    <w:multiLevelType w:val="multilevel"/>
    <w:tmpl w:val="188E454E"/>
    <w:lvl w:ilvl="0">
      <w:start w:val="52"/>
      <w:numFmt w:val="decimal"/>
      <w:lvlText w:val="%1."/>
      <w:lvlJc w:val="left"/>
      <w:pPr>
        <w:ind w:left="465" w:hanging="465"/>
      </w:pPr>
    </w:lvl>
    <w:lvl w:ilvl="1">
      <w:start w:val="2"/>
      <w:numFmt w:val="decimal"/>
      <w:lvlText w:val="62.%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5" w15:restartNumberingAfterBreak="0">
    <w:nsid w:val="55C82BFF"/>
    <w:multiLevelType w:val="multilevel"/>
    <w:tmpl w:val="448066DE"/>
    <w:lvl w:ilvl="0">
      <w:start w:val="39"/>
      <w:numFmt w:val="decimal"/>
      <w:lvlText w:val="%1."/>
      <w:lvlJc w:val="left"/>
      <w:pPr>
        <w:ind w:left="465" w:hanging="465"/>
      </w:pPr>
    </w:lvl>
    <w:lvl w:ilvl="1">
      <w:start w:val="1"/>
      <w:numFmt w:val="decimal"/>
      <w:lvlText w:val="47.%2."/>
      <w:lvlJc w:val="left"/>
      <w:pPr>
        <w:ind w:left="1545" w:hanging="465"/>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15:restartNumberingAfterBreak="0">
    <w:nsid w:val="57326B3D"/>
    <w:multiLevelType w:val="multilevel"/>
    <w:tmpl w:val="B35AF880"/>
    <w:lvl w:ilvl="0">
      <w:numFmt w:val="decimal"/>
      <w:lvlText w:val="%1."/>
      <w:lvlJc w:val="left"/>
      <w:pPr>
        <w:ind w:left="720" w:hanging="360"/>
      </w:pPr>
    </w:lvl>
    <w:lvl w:ilvl="1">
      <w:start w:val="1"/>
      <w:numFmt w:val="decimal"/>
      <w:lvlText w:val="78.%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7CD6998"/>
    <w:multiLevelType w:val="multilevel"/>
    <w:tmpl w:val="518CF6A4"/>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E447FC0"/>
    <w:multiLevelType w:val="multilevel"/>
    <w:tmpl w:val="9D64AC56"/>
    <w:lvl w:ilvl="0">
      <w:start w:val="5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7"/>
  </w:num>
  <w:num w:numId="6">
    <w:abstractNumId w:val="6"/>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BC"/>
    <w:rsid w:val="000D17BC"/>
    <w:rsid w:val="001D5B9F"/>
    <w:rsid w:val="00385A9B"/>
    <w:rsid w:val="0053402C"/>
    <w:rsid w:val="00600DE8"/>
    <w:rsid w:val="00744C2D"/>
    <w:rsid w:val="007D2F8D"/>
    <w:rsid w:val="00E47A9A"/>
    <w:rsid w:val="00E825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97F0"/>
  <w15:docId w15:val="{355ACA4A-36AB-4E7B-968E-71279554A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paragraph" w:styleId="a4">
    <w:name w:val="Normal (Web)"/>
    <w:uiPriority w:val="99"/>
    <w:semiHidden/>
    <w:unhideWhenUsed/>
    <w:rsid w:val="009F46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9F4687"/>
  </w:style>
  <w:style w:type="paragraph" w:styleId="a5">
    <w:name w:val="List Paragraph"/>
    <w:uiPriority w:val="34"/>
    <w:qFormat/>
    <w:rsid w:val="00391CDF"/>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header"/>
    <w:link w:val="a7"/>
    <w:uiPriority w:val="99"/>
    <w:unhideWhenUsed/>
    <w:rsid w:val="00A37AB5"/>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37AB5"/>
  </w:style>
  <w:style w:type="paragraph" w:styleId="a8">
    <w:name w:val="footer"/>
    <w:link w:val="a9"/>
    <w:uiPriority w:val="99"/>
    <w:unhideWhenUsed/>
    <w:rsid w:val="00A37AB5"/>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37AB5"/>
  </w:style>
  <w:style w:type="table" w:customStyle="1" w:styleId="aa">
    <w:basedOn w:val="TableNormal3"/>
    <w:tblPr>
      <w:tblStyleRowBandSize w:val="1"/>
      <w:tblStyleColBandSize w:val="1"/>
      <w:tblCellMar>
        <w:top w:w="15" w:type="dxa"/>
        <w:left w:w="15" w:type="dxa"/>
        <w:bottom w:w="15" w:type="dxa"/>
        <w:right w:w="15" w:type="dxa"/>
      </w:tblCellMar>
    </w:tblPr>
  </w:style>
  <w:style w:type="table" w:customStyle="1" w:styleId="ab">
    <w:basedOn w:val="TableNormal3"/>
    <w:tblPr>
      <w:tblStyleRowBandSize w:val="1"/>
      <w:tblStyleColBandSize w:val="1"/>
    </w:tblPr>
  </w:style>
  <w:style w:type="table" w:customStyle="1" w:styleId="ac">
    <w:basedOn w:val="TableNormal3"/>
    <w:tblPr>
      <w:tblStyleRowBandSize w:val="1"/>
      <w:tblStyleColBandSize w:val="1"/>
      <w:tblCellMar>
        <w:top w:w="15" w:type="dxa"/>
        <w:left w:w="15" w:type="dxa"/>
        <w:bottom w:w="15" w:type="dxa"/>
        <w:right w:w="15" w:type="dxa"/>
      </w:tblCellMar>
    </w:tblPr>
  </w:style>
  <w:style w:type="table" w:customStyle="1" w:styleId="ad">
    <w:basedOn w:val="TableNormal3"/>
    <w:tblPr>
      <w:tblStyleRowBandSize w:val="1"/>
      <w:tblStyleColBandSize w:val="1"/>
      <w:tblCellMar>
        <w:top w:w="15" w:type="dxa"/>
        <w:left w:w="15" w:type="dxa"/>
        <w:bottom w:w="15" w:type="dxa"/>
        <w:right w:w="15" w:type="dxa"/>
      </w:tblCellMar>
    </w:tblPr>
  </w:style>
  <w:style w:type="table" w:customStyle="1" w:styleId="ae">
    <w:basedOn w:val="TableNormal3"/>
    <w:tblPr>
      <w:tblStyleRowBandSize w:val="1"/>
      <w:tblStyleColBandSize w:val="1"/>
      <w:tblCellMar>
        <w:top w:w="15" w:type="dxa"/>
        <w:left w:w="15" w:type="dxa"/>
        <w:bottom w:w="15" w:type="dxa"/>
        <w:right w:w="15" w:type="dxa"/>
      </w:tblCellMar>
    </w:tblPr>
  </w:style>
  <w:style w:type="table" w:customStyle="1" w:styleId="af">
    <w:basedOn w:val="TableNormal3"/>
    <w:tblPr>
      <w:tblStyleRowBandSize w:val="1"/>
      <w:tblStyleColBandSize w:val="1"/>
    </w:tblPr>
  </w:style>
  <w:style w:type="table" w:customStyle="1" w:styleId="af0">
    <w:basedOn w:val="TableNormal3"/>
    <w:tblPr>
      <w:tblStyleRowBandSize w:val="1"/>
      <w:tblStyleColBandSize w:val="1"/>
      <w:tblCellMar>
        <w:top w:w="15" w:type="dxa"/>
        <w:left w:w="15" w:type="dxa"/>
        <w:bottom w:w="15" w:type="dxa"/>
        <w:right w:w="15" w:type="dxa"/>
      </w:tblCellMar>
    </w:tblPr>
  </w:style>
  <w:style w:type="table" w:customStyle="1" w:styleId="af1">
    <w:basedOn w:val="TableNormal3"/>
    <w:tblPr>
      <w:tblStyleRowBandSize w:val="1"/>
      <w:tblStyleColBandSize w:val="1"/>
      <w:tblCellMar>
        <w:top w:w="15" w:type="dxa"/>
        <w:left w:w="15" w:type="dxa"/>
        <w:bottom w:w="15" w:type="dxa"/>
        <w:right w:w="15" w:type="dxa"/>
      </w:tblCellMar>
    </w:tblPr>
  </w:style>
  <w:style w:type="table" w:customStyle="1" w:styleId="af2">
    <w:basedOn w:val="TableNormal2"/>
    <w:tblPr>
      <w:tblStyleRowBandSize w:val="1"/>
      <w:tblStyleColBandSize w:val="1"/>
      <w:tblCellMar>
        <w:top w:w="15" w:type="dxa"/>
        <w:left w:w="15" w:type="dxa"/>
        <w:bottom w:w="15" w:type="dxa"/>
        <w:right w:w="15" w:type="dxa"/>
      </w:tblCellMar>
    </w:tblPr>
  </w:style>
  <w:style w:type="table" w:customStyle="1" w:styleId="af3">
    <w:basedOn w:val="TableNormal2"/>
    <w:tblPr>
      <w:tblStyleRowBandSize w:val="1"/>
      <w:tblStyleColBandSize w:val="1"/>
    </w:tblPr>
  </w:style>
  <w:style w:type="table" w:customStyle="1" w:styleId="af4">
    <w:basedOn w:val="TableNormal2"/>
    <w:tblPr>
      <w:tblStyleRowBandSize w:val="1"/>
      <w:tblStyleColBandSize w:val="1"/>
      <w:tblCellMar>
        <w:top w:w="15" w:type="dxa"/>
        <w:left w:w="15" w:type="dxa"/>
        <w:bottom w:w="15" w:type="dxa"/>
        <w:right w:w="15" w:type="dxa"/>
      </w:tblCellMar>
    </w:tblPr>
  </w:style>
  <w:style w:type="table" w:customStyle="1" w:styleId="af5">
    <w:basedOn w:val="TableNormal2"/>
    <w:tblPr>
      <w:tblStyleRowBandSize w:val="1"/>
      <w:tblStyleColBandSize w:val="1"/>
      <w:tblCellMar>
        <w:top w:w="15" w:type="dxa"/>
        <w:left w:w="15" w:type="dxa"/>
        <w:bottom w:w="15" w:type="dxa"/>
        <w:right w:w="15" w:type="dxa"/>
      </w:tblCellMar>
    </w:tblPr>
  </w:style>
  <w:style w:type="table" w:customStyle="1" w:styleId="af6">
    <w:basedOn w:val="TableNormal1"/>
    <w:tblPr>
      <w:tblStyleRowBandSize w:val="1"/>
      <w:tblStyleColBandSize w:val="1"/>
      <w:tblCellMar>
        <w:top w:w="15" w:type="dxa"/>
        <w:left w:w="15" w:type="dxa"/>
        <w:bottom w:w="15" w:type="dxa"/>
        <w:right w:w="15" w:type="dxa"/>
      </w:tblCellMar>
    </w:tblPr>
  </w:style>
  <w:style w:type="table" w:customStyle="1" w:styleId="af7">
    <w:basedOn w:val="TableNormal1"/>
    <w:tblPr>
      <w:tblStyleRowBandSize w:val="1"/>
      <w:tblStyleColBandSize w:val="1"/>
    </w:tblPr>
  </w:style>
  <w:style w:type="table" w:customStyle="1" w:styleId="af8">
    <w:basedOn w:val="TableNormal1"/>
    <w:tblPr>
      <w:tblStyleRowBandSize w:val="1"/>
      <w:tblStyleColBandSize w:val="1"/>
      <w:tblCellMar>
        <w:top w:w="15" w:type="dxa"/>
        <w:left w:w="15" w:type="dxa"/>
        <w:bottom w:w="15" w:type="dxa"/>
        <w:right w:w="15" w:type="dxa"/>
      </w:tblCellMar>
    </w:tblPr>
  </w:style>
  <w:style w:type="table" w:customStyle="1" w:styleId="af9">
    <w:basedOn w:val="TableNormal1"/>
    <w:tblPr>
      <w:tblStyleRowBandSize w:val="1"/>
      <w:tblStyleColBandSize w:val="1"/>
      <w:tblCellMar>
        <w:top w:w="15" w:type="dxa"/>
        <w:left w:w="15" w:type="dxa"/>
        <w:bottom w:w="15" w:type="dxa"/>
        <w:right w:w="15" w:type="dxa"/>
      </w:tblCellMar>
    </w:tblPr>
  </w:style>
  <w:style w:type="paragraph" w:styleId="afa">
    <w:name w:val="Subtitle"/>
    <w:basedOn w:val="a"/>
    <w:next w:val="a"/>
    <w:pPr>
      <w:keepNext/>
      <w:keepLines/>
      <w:spacing w:before="360" w:after="80"/>
    </w:pPr>
    <w:rPr>
      <w:rFonts w:ascii="Georgia" w:eastAsia="Georgia" w:hAnsi="Georgia" w:cs="Georgia"/>
      <w:i/>
      <w:color w:val="666666"/>
      <w:sz w:val="48"/>
      <w:szCs w:val="48"/>
    </w:rPr>
  </w:style>
  <w:style w:type="table" w:customStyle="1" w:styleId="afb">
    <w:basedOn w:val="TableNormal0"/>
    <w:tblPr>
      <w:tblStyleRowBandSize w:val="1"/>
      <w:tblStyleColBandSize w:val="1"/>
      <w:tblCellMar>
        <w:top w:w="15" w:type="dxa"/>
        <w:left w:w="15" w:type="dxa"/>
        <w:bottom w:w="15" w:type="dxa"/>
        <w:right w:w="15" w:type="dxa"/>
      </w:tblCellMar>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CellMar>
        <w:top w:w="15" w:type="dxa"/>
        <w:left w:w="15" w:type="dxa"/>
        <w:bottom w:w="15" w:type="dxa"/>
        <w:right w:w="15" w:type="dxa"/>
      </w:tblCellMar>
    </w:tblPr>
  </w:style>
  <w:style w:type="table" w:customStyle="1" w:styleId="afe">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5i+uqLx8yvHDZxf2amQE58AOw==">CgMxLjAyDmguM21uMGlqZnE1OG1zMg1oLnFkOXJjYjJzMGttMg9pZC5qZjFsanJjZXp1MHIyD2lkLnlyd3p5bnZhM3U0ODIPaWQueW85eWhxYjk2b3p6Mg5oLnU4ZDNoM2l4c3I0ODIOaC4ybjdtb2g2MXR6YXcyDmgueXJhYWVxN21kZWNuMg5oLm1qdXBxMzI5NXg5dzIOaC5zZjF3YThxNzR5OHY4AHIhMTN4SUo0T0J5SWJIR1pQeVJOdDdrWGw3Yk9pcU8zOXJY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31184</Words>
  <Characters>17776</Characters>
  <Application>Microsoft Office Word</Application>
  <DocSecurity>0</DocSecurity>
  <Lines>148</Lines>
  <Paragraphs>97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Янкіна Наталія Станіславівна</dc:creator>
  <cp:lastModifiedBy>Василенко Наталія Іванівна</cp:lastModifiedBy>
  <cp:revision>4</cp:revision>
  <dcterms:created xsi:type="dcterms:W3CDTF">2025-09-10T07:13:00Z</dcterms:created>
  <dcterms:modified xsi:type="dcterms:W3CDTF">2025-09-10T09:25:00Z</dcterms:modified>
</cp:coreProperties>
</file>