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42" w:rsidRPr="00FB6BAE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B6BAE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67BE55D1" wp14:editId="0BEF24D2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42" w:rsidRPr="00FB6BAE" w:rsidRDefault="00F97C42" w:rsidP="00F97C42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97C42" w:rsidRPr="00FB6BAE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FB6BAE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F97C42" w:rsidRPr="00FB6BAE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97C42" w:rsidRPr="00F97C42" w:rsidRDefault="00620368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07 серпня </w:t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 xml:space="preserve">2023 року </w:t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FB6BAE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F97C42" w:rsidRPr="00F97C42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:rsidR="00F97C42" w:rsidRPr="00F97C42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7C42" w:rsidRPr="00D12A93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>Р І Ш Е Н Н Я №</w:t>
      </w:r>
      <w:r w:rsidR="00D12A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12A93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2/дп-23</w:t>
      </w:r>
    </w:p>
    <w:p w:rsidR="00F97C42" w:rsidRPr="00F97C42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F97C42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B6BAE" w:rsidRPr="00F97C42" w:rsidRDefault="00FB6BAE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7C4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620368">
        <w:rPr>
          <w:rFonts w:ascii="Times New Roman" w:hAnsi="Times New Roman" w:cs="Times New Roman"/>
          <w:sz w:val="26"/>
          <w:szCs w:val="26"/>
        </w:rPr>
        <w:t>Чумака С.Ю</w:t>
      </w:r>
      <w:r w:rsidRPr="00F97C42">
        <w:rPr>
          <w:rFonts w:ascii="Times New Roman" w:hAnsi="Times New Roman" w:cs="Times New Roman"/>
          <w:sz w:val="26"/>
          <w:szCs w:val="26"/>
        </w:rPr>
        <w:t>.,</w:t>
      </w:r>
    </w:p>
    <w:p w:rsidR="00FB6BAE" w:rsidRPr="00F97C42" w:rsidRDefault="00FB6BAE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7C42" w:rsidRPr="00F97C42" w:rsidRDefault="00620368" w:rsidP="00F97C42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членів Комісії: Пасічника А.В., Сабодаша Р.Б.</w:t>
      </w:r>
      <w:r w:rsidR="00FB6BAE">
        <w:rPr>
          <w:rFonts w:ascii="Times New Roman" w:hAnsi="Times New Roman" w:cs="Times New Roman"/>
          <w:sz w:val="26"/>
          <w:szCs w:val="26"/>
        </w:rPr>
        <w:t>,</w:t>
      </w:r>
    </w:p>
    <w:p w:rsidR="00F97C42" w:rsidRPr="00F97C42" w:rsidRDefault="00F97C42" w:rsidP="00F97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6"/>
          <w:szCs w:val="26"/>
          <w:lang w:val="uk-UA"/>
        </w:rPr>
      </w:pPr>
    </w:p>
    <w:p w:rsidR="00F97C42" w:rsidRPr="00F97C42" w:rsidRDefault="00F97C42" w:rsidP="00F97C42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 xml:space="preserve">розглянувши </w:t>
      </w:r>
      <w:r w:rsidR="00620368"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Маселка </w:t>
      </w:r>
      <w:r w:rsidR="00836A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Р.А. </w:t>
      </w:r>
      <w:r w:rsidR="00620368"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>щодо інформації, яка може свідчити про недостовірність (у то</w:t>
      </w:r>
      <w:r w:rsidR="00836AF7">
        <w:rPr>
          <w:rFonts w:ascii="Times New Roman" w:hAnsi="Times New Roman" w:cs="Times New Roman"/>
          <w:sz w:val="26"/>
          <w:szCs w:val="26"/>
          <w:shd w:val="clear" w:color="auto" w:fill="FFFFFF"/>
        </w:rPr>
        <w:t>му числі неповноту) тверджень, у</w:t>
      </w:r>
      <w:r w:rsidR="00620368"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 суддею Апеляційного суду міста Києва Гладієм Степаном Васильовичем у декларації доброчесності за 2016 та 2017 роки</w:t>
      </w:r>
      <w:r w:rsidRPr="00620368">
        <w:rPr>
          <w:rFonts w:ascii="Times New Roman" w:hAnsi="Times New Roman" w:cs="Times New Roman"/>
          <w:sz w:val="26"/>
          <w:szCs w:val="26"/>
        </w:rPr>
        <w:t>,</w:t>
      </w:r>
    </w:p>
    <w:p w:rsidR="00F97C42" w:rsidRPr="00F97C42" w:rsidRDefault="00F97C42" w:rsidP="00F97C42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6"/>
          <w:szCs w:val="26"/>
        </w:rPr>
      </w:pPr>
    </w:p>
    <w:p w:rsidR="00F97C42" w:rsidRPr="00F97C42" w:rsidRDefault="00F97C42" w:rsidP="00F97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встановила:</w:t>
      </w:r>
    </w:p>
    <w:p w:rsidR="00F97C42" w:rsidRPr="00F97C42" w:rsidRDefault="00F97C42" w:rsidP="00F97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7C42" w:rsidRPr="00F97C42" w:rsidRDefault="00F97C42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30</w:t>
      </w:r>
      <w:r w:rsidR="00B40D72">
        <w:rPr>
          <w:rFonts w:ascii="Times New Roman" w:hAnsi="Times New Roman" w:cs="Times New Roman"/>
          <w:sz w:val="26"/>
          <w:szCs w:val="26"/>
        </w:rPr>
        <w:t xml:space="preserve"> липня </w:t>
      </w:r>
      <w:r w:rsidRPr="00F97C42">
        <w:rPr>
          <w:rFonts w:ascii="Times New Roman" w:hAnsi="Times New Roman" w:cs="Times New Roman"/>
          <w:sz w:val="26"/>
          <w:szCs w:val="26"/>
        </w:rPr>
        <w:t xml:space="preserve">2018 </w:t>
      </w:r>
      <w:r w:rsidR="00B40D72">
        <w:rPr>
          <w:rFonts w:ascii="Times New Roman" w:hAnsi="Times New Roman" w:cs="Times New Roman"/>
          <w:sz w:val="26"/>
          <w:szCs w:val="26"/>
        </w:rPr>
        <w:t xml:space="preserve">року </w:t>
      </w:r>
      <w:r w:rsidR="00DD4286">
        <w:rPr>
          <w:rFonts w:ascii="Times New Roman" w:hAnsi="Times New Roman" w:cs="Times New Roman"/>
          <w:sz w:val="26"/>
          <w:szCs w:val="26"/>
        </w:rPr>
        <w:t>д</w:t>
      </w:r>
      <w:r w:rsidR="00DD4286" w:rsidRPr="00F97C42">
        <w:rPr>
          <w:rFonts w:ascii="Times New Roman" w:hAnsi="Times New Roman" w:cs="Times New Roman"/>
          <w:sz w:val="26"/>
          <w:szCs w:val="26"/>
        </w:rPr>
        <w:t xml:space="preserve">о Комісії </w:t>
      </w:r>
      <w:r w:rsidRPr="00F97C42">
        <w:rPr>
          <w:rFonts w:ascii="Times New Roman" w:hAnsi="Times New Roman" w:cs="Times New Roman"/>
          <w:sz w:val="26"/>
          <w:szCs w:val="26"/>
        </w:rPr>
        <w:t>надійшло повідомлення Маселка Р.А. про недостовірність тверджень, вказаних суддею Апеляційного суду міста Києва Гладієм С</w:t>
      </w:r>
      <w:r w:rsidR="00FB6BAE">
        <w:rPr>
          <w:rFonts w:ascii="Times New Roman" w:hAnsi="Times New Roman" w:cs="Times New Roman"/>
          <w:sz w:val="26"/>
          <w:szCs w:val="26"/>
        </w:rPr>
        <w:t xml:space="preserve">.В. </w:t>
      </w:r>
      <w:r w:rsidRPr="00F97C42">
        <w:rPr>
          <w:rFonts w:ascii="Times New Roman" w:hAnsi="Times New Roman" w:cs="Times New Roman"/>
          <w:sz w:val="26"/>
          <w:szCs w:val="26"/>
        </w:rPr>
        <w:t>у деклараціях добр</w:t>
      </w:r>
      <w:r w:rsidR="00D12A93">
        <w:rPr>
          <w:rFonts w:ascii="Times New Roman" w:hAnsi="Times New Roman" w:cs="Times New Roman"/>
          <w:sz w:val="26"/>
          <w:szCs w:val="26"/>
        </w:rPr>
        <w:t>очесності судді за 2016 та 2017</w:t>
      </w:r>
      <w:r w:rsidR="00B40D72">
        <w:rPr>
          <w:rFonts w:ascii="Times New Roman" w:hAnsi="Times New Roman" w:cs="Times New Roman"/>
          <w:sz w:val="26"/>
          <w:szCs w:val="26"/>
        </w:rPr>
        <w:t> </w:t>
      </w:r>
      <w:r w:rsidRPr="00F97C42">
        <w:rPr>
          <w:rFonts w:ascii="Times New Roman" w:hAnsi="Times New Roman" w:cs="Times New Roman"/>
          <w:sz w:val="26"/>
          <w:szCs w:val="26"/>
        </w:rPr>
        <w:t>роки (далі – декларації).</w:t>
      </w:r>
    </w:p>
    <w:p w:rsidR="00F97C42" w:rsidRPr="00F97C42" w:rsidRDefault="00F97C42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Заявник заз</w:t>
      </w:r>
      <w:r w:rsidR="00620368">
        <w:rPr>
          <w:rFonts w:ascii="Times New Roman" w:hAnsi="Times New Roman" w:cs="Times New Roman"/>
          <w:sz w:val="26"/>
          <w:szCs w:val="26"/>
        </w:rPr>
        <w:t>начає, що в пункті 12 декларацій</w:t>
      </w:r>
      <w:r w:rsidRPr="00F97C42">
        <w:rPr>
          <w:rFonts w:ascii="Times New Roman" w:hAnsi="Times New Roman" w:cs="Times New Roman"/>
          <w:sz w:val="26"/>
          <w:szCs w:val="26"/>
        </w:rPr>
        <w:t xml:space="preserve"> суддя Гладій С.В. підтвердив, що ним сумлінно виконувались професійні обов’язки у 2016 та 2017 роках, проте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Pr="00F97C42">
        <w:rPr>
          <w:rFonts w:ascii="Times New Roman" w:hAnsi="Times New Roman" w:cs="Times New Roman"/>
          <w:sz w:val="26"/>
          <w:szCs w:val="26"/>
        </w:rPr>
        <w:t>такі твердження не відповідають дійсності, оскільки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Pr="00F97C42">
        <w:rPr>
          <w:rFonts w:ascii="Times New Roman" w:hAnsi="Times New Roman" w:cs="Times New Roman"/>
          <w:sz w:val="26"/>
          <w:szCs w:val="26"/>
        </w:rPr>
        <w:t>14</w:t>
      </w:r>
      <w:r w:rsidR="00D12A93">
        <w:rPr>
          <w:rFonts w:ascii="Times New Roman" w:hAnsi="Times New Roman" w:cs="Times New Roman"/>
          <w:sz w:val="26"/>
          <w:szCs w:val="26"/>
        </w:rPr>
        <w:t> березня</w:t>
      </w:r>
      <w:r w:rsidR="00B40D72">
        <w:rPr>
          <w:rFonts w:ascii="Times New Roman" w:hAnsi="Times New Roman" w:cs="Times New Roman"/>
          <w:sz w:val="26"/>
          <w:szCs w:val="26"/>
        </w:rPr>
        <w:t> </w:t>
      </w:r>
      <w:r w:rsidRPr="00F97C42">
        <w:rPr>
          <w:rFonts w:ascii="Times New Roman" w:hAnsi="Times New Roman" w:cs="Times New Roman"/>
          <w:sz w:val="26"/>
          <w:szCs w:val="26"/>
        </w:rPr>
        <w:t xml:space="preserve">2014 </w:t>
      </w:r>
      <w:r w:rsidR="00B40D72">
        <w:rPr>
          <w:rFonts w:ascii="Times New Roman" w:hAnsi="Times New Roman" w:cs="Times New Roman"/>
          <w:sz w:val="26"/>
          <w:szCs w:val="26"/>
        </w:rPr>
        <w:t xml:space="preserve">року </w:t>
      </w:r>
      <w:r w:rsidRPr="00F97C42">
        <w:rPr>
          <w:rFonts w:ascii="Times New Roman" w:hAnsi="Times New Roman" w:cs="Times New Roman"/>
          <w:sz w:val="26"/>
          <w:szCs w:val="26"/>
        </w:rPr>
        <w:t xml:space="preserve">суддя виніс рішення </w:t>
      </w:r>
      <w:r w:rsidR="00FB6BAE">
        <w:rPr>
          <w:rFonts w:ascii="Times New Roman" w:hAnsi="Times New Roman" w:cs="Times New Roman"/>
          <w:sz w:val="26"/>
          <w:szCs w:val="26"/>
        </w:rPr>
        <w:t xml:space="preserve">у </w:t>
      </w:r>
      <w:r w:rsidRPr="00F97C42">
        <w:rPr>
          <w:rFonts w:ascii="Times New Roman" w:hAnsi="Times New Roman" w:cs="Times New Roman"/>
          <w:sz w:val="26"/>
          <w:szCs w:val="26"/>
        </w:rPr>
        <w:t xml:space="preserve">справі № 761/2801/14-п, </w:t>
      </w:r>
      <w:r w:rsidR="00FB6BAE">
        <w:rPr>
          <w:rFonts w:ascii="Times New Roman" w:hAnsi="Times New Roman" w:cs="Times New Roman"/>
          <w:sz w:val="26"/>
          <w:szCs w:val="26"/>
        </w:rPr>
        <w:t xml:space="preserve">яким </w:t>
      </w:r>
      <w:r w:rsidRPr="00F97C42">
        <w:rPr>
          <w:rFonts w:ascii="Times New Roman" w:hAnsi="Times New Roman" w:cs="Times New Roman"/>
          <w:sz w:val="26"/>
          <w:szCs w:val="26"/>
        </w:rPr>
        <w:t>скасован</w:t>
      </w:r>
      <w:r w:rsidR="00FB6BAE">
        <w:rPr>
          <w:rFonts w:ascii="Times New Roman" w:hAnsi="Times New Roman" w:cs="Times New Roman"/>
          <w:sz w:val="26"/>
          <w:szCs w:val="26"/>
        </w:rPr>
        <w:t xml:space="preserve">о рішення суду першої інстанції. Ця справа </w:t>
      </w:r>
      <w:r w:rsidRPr="00F97C42">
        <w:rPr>
          <w:rFonts w:ascii="Times New Roman" w:hAnsi="Times New Roman" w:cs="Times New Roman"/>
          <w:sz w:val="26"/>
          <w:szCs w:val="26"/>
        </w:rPr>
        <w:t>стосувалась учасника акцій протесту під час Революції Гідності.</w:t>
      </w:r>
    </w:p>
    <w:p w:rsidR="00F97C42" w:rsidRPr="00400029" w:rsidRDefault="00DD4286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переконання заявника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, </w:t>
      </w:r>
      <w:r w:rsidRPr="00F97C42">
        <w:rPr>
          <w:rFonts w:ascii="Times New Roman" w:hAnsi="Times New Roman" w:cs="Times New Roman"/>
          <w:sz w:val="26"/>
          <w:szCs w:val="26"/>
        </w:rPr>
        <w:t>суддею Гладієм С.В.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порушення вимог частини </w:t>
      </w:r>
      <w:r w:rsidR="00620368">
        <w:rPr>
          <w:rFonts w:ascii="Times New Roman" w:hAnsi="Times New Roman" w:cs="Times New Roman"/>
          <w:sz w:val="26"/>
          <w:szCs w:val="26"/>
        </w:rPr>
        <w:t xml:space="preserve">третьої </w:t>
      </w:r>
      <w:r w:rsidR="00F97C42" w:rsidRPr="00F97C42">
        <w:rPr>
          <w:rFonts w:ascii="Times New Roman" w:hAnsi="Times New Roman" w:cs="Times New Roman"/>
          <w:sz w:val="26"/>
          <w:szCs w:val="26"/>
        </w:rPr>
        <w:t>статті 3 Закону України «Про доступ до судових рішень»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не внесено до Єдиного державного реєстру судових рішень електронної копії судового рішення </w:t>
      </w:r>
      <w:r w:rsidR="00FB6BAE">
        <w:rPr>
          <w:rFonts w:ascii="Times New Roman" w:hAnsi="Times New Roman" w:cs="Times New Roman"/>
          <w:sz w:val="26"/>
          <w:szCs w:val="26"/>
        </w:rPr>
        <w:t xml:space="preserve">у 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вказаній </w:t>
      </w:r>
      <w:r w:rsidR="00F97C42" w:rsidRPr="00400029">
        <w:rPr>
          <w:rFonts w:ascii="Times New Roman" w:hAnsi="Times New Roman" w:cs="Times New Roman"/>
          <w:sz w:val="26"/>
          <w:szCs w:val="26"/>
        </w:rPr>
        <w:t>справі.</w:t>
      </w:r>
    </w:p>
    <w:p w:rsidR="00F97C42" w:rsidRPr="00400029" w:rsidRDefault="00620368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0029">
        <w:rPr>
          <w:rFonts w:ascii="Times New Roman" w:hAnsi="Times New Roman" w:cs="Times New Roman"/>
          <w:sz w:val="26"/>
          <w:szCs w:val="26"/>
        </w:rPr>
        <w:t>Зазначені обставини, на думку Маселка Р.А., свідча</w:t>
      </w:r>
      <w:r w:rsidR="00F97C42" w:rsidRPr="00400029">
        <w:rPr>
          <w:rFonts w:ascii="Times New Roman" w:hAnsi="Times New Roman" w:cs="Times New Roman"/>
          <w:sz w:val="26"/>
          <w:szCs w:val="26"/>
        </w:rPr>
        <w:t>ть про неналежне виконання професійних обов’язків суддею Гладієм С.В.</w:t>
      </w:r>
      <w:r w:rsidR="00DD4286" w:rsidRPr="00400029">
        <w:rPr>
          <w:rFonts w:ascii="Times New Roman" w:hAnsi="Times New Roman" w:cs="Times New Roman"/>
          <w:sz w:val="26"/>
          <w:szCs w:val="26"/>
        </w:rPr>
        <w:t>,</w:t>
      </w:r>
      <w:r w:rsidR="00F97C42" w:rsidRPr="00400029">
        <w:rPr>
          <w:rFonts w:ascii="Times New Roman" w:hAnsi="Times New Roman" w:cs="Times New Roman"/>
          <w:sz w:val="26"/>
          <w:szCs w:val="26"/>
        </w:rPr>
        <w:t xml:space="preserve"> </w:t>
      </w:r>
      <w:r w:rsidR="00DD4286" w:rsidRPr="00400029">
        <w:rPr>
          <w:rFonts w:ascii="Times New Roman" w:hAnsi="Times New Roman" w:cs="Times New Roman"/>
          <w:sz w:val="26"/>
          <w:szCs w:val="26"/>
        </w:rPr>
        <w:t>тобто</w:t>
      </w:r>
      <w:r w:rsidR="00F97C42" w:rsidRPr="00400029">
        <w:rPr>
          <w:rFonts w:ascii="Times New Roman" w:hAnsi="Times New Roman" w:cs="Times New Roman"/>
          <w:sz w:val="26"/>
          <w:szCs w:val="26"/>
        </w:rPr>
        <w:t xml:space="preserve"> є підстави ствер</w:t>
      </w:r>
      <w:r w:rsidR="00FB6BAE">
        <w:rPr>
          <w:rFonts w:ascii="Times New Roman" w:hAnsi="Times New Roman" w:cs="Times New Roman"/>
          <w:sz w:val="26"/>
          <w:szCs w:val="26"/>
        </w:rPr>
        <w:t>джувати, що останнім повідомлено</w:t>
      </w:r>
      <w:r w:rsidR="00F97C42" w:rsidRPr="00400029">
        <w:rPr>
          <w:rFonts w:ascii="Times New Roman" w:hAnsi="Times New Roman" w:cs="Times New Roman"/>
          <w:sz w:val="26"/>
          <w:szCs w:val="26"/>
        </w:rPr>
        <w:t xml:space="preserve"> недостовірні відомості у пункті 12 декларацій.</w:t>
      </w:r>
    </w:p>
    <w:p w:rsidR="00400029" w:rsidRPr="00400029" w:rsidRDefault="00FB6BAE" w:rsidP="00400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Відповідно до Закону</w:t>
      </w:r>
      <w:r w:rsidR="00400029" w:rsidRPr="00400029">
        <w:rPr>
          <w:rFonts w:ascii="Times New Roman" w:hAnsi="Times New Roman" w:cs="Times New Roman"/>
          <w:sz w:val="26"/>
          <w:szCs w:val="26"/>
        </w:rPr>
        <w:t xml:space="preserve"> України «Про судоустрій і статус суддів» </w:t>
      </w:r>
      <w:r>
        <w:rPr>
          <w:rFonts w:ascii="Times New Roman" w:hAnsi="Times New Roman" w:cs="Times New Roman"/>
          <w:sz w:val="26"/>
          <w:szCs w:val="26"/>
        </w:rPr>
        <w:t xml:space="preserve">(далі - Закон) </w:t>
      </w:r>
      <w:r w:rsidR="00400029" w:rsidRPr="00400029">
        <w:rPr>
          <w:rFonts w:ascii="Times New Roman" w:hAnsi="Times New Roman" w:cs="Times New Roman"/>
          <w:sz w:val="26"/>
          <w:szCs w:val="26"/>
        </w:rPr>
        <w:t xml:space="preserve">з 07 листопада 2019 року припинено повноваження членів Комісії, що унеможливило розподіл зазначеного повідомлення Маселка </w:t>
      </w:r>
      <w:r>
        <w:rPr>
          <w:rFonts w:ascii="Times New Roman" w:hAnsi="Times New Roman" w:cs="Times New Roman"/>
          <w:sz w:val="26"/>
          <w:szCs w:val="26"/>
        </w:rPr>
        <w:t xml:space="preserve">Р.А. </w:t>
      </w:r>
      <w:r w:rsidR="00400029" w:rsidRPr="00400029">
        <w:rPr>
          <w:rFonts w:ascii="Times New Roman" w:hAnsi="Times New Roman" w:cs="Times New Roman"/>
          <w:sz w:val="26"/>
          <w:szCs w:val="26"/>
        </w:rPr>
        <w:t xml:space="preserve">між членами Комісії та, відповідно, проведення перевірки за цим повідомленням. </w:t>
      </w:r>
    </w:p>
    <w:p w:rsidR="00400029" w:rsidRPr="00400029" w:rsidRDefault="00400029" w:rsidP="00400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0029">
        <w:rPr>
          <w:rFonts w:ascii="Times New Roman" w:hAnsi="Times New Roman" w:cs="Times New Roman"/>
          <w:sz w:val="26"/>
          <w:szCs w:val="26"/>
        </w:rPr>
        <w:lastRenderedPageBreak/>
        <w:t xml:space="preserve">Після </w:t>
      </w:r>
      <w:r w:rsidR="005C1540">
        <w:rPr>
          <w:rFonts w:ascii="Times New Roman" w:hAnsi="Times New Roman" w:cs="Times New Roman"/>
          <w:sz w:val="26"/>
          <w:szCs w:val="26"/>
        </w:rPr>
        <w:t xml:space="preserve">призначення </w:t>
      </w:r>
      <w:r w:rsidRPr="00400029">
        <w:rPr>
          <w:rFonts w:ascii="Times New Roman" w:hAnsi="Times New Roman" w:cs="Times New Roman"/>
          <w:sz w:val="26"/>
          <w:szCs w:val="26"/>
        </w:rPr>
        <w:t>нового складу Комісії 01 червня 2023 року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Pr="00400029">
        <w:rPr>
          <w:rFonts w:ascii="Times New Roman" w:hAnsi="Times New Roman" w:cs="Times New Roman"/>
          <w:sz w:val="26"/>
          <w:szCs w:val="26"/>
        </w:rPr>
        <w:t xml:space="preserve">повідомлення Маселка </w:t>
      </w:r>
      <w:r w:rsidR="00FB6BAE">
        <w:rPr>
          <w:rFonts w:ascii="Times New Roman" w:hAnsi="Times New Roman" w:cs="Times New Roman"/>
          <w:sz w:val="26"/>
          <w:szCs w:val="26"/>
        </w:rPr>
        <w:t xml:space="preserve">Р.А. </w:t>
      </w:r>
      <w:r w:rsidRPr="00400029">
        <w:rPr>
          <w:rFonts w:ascii="Times New Roman" w:hAnsi="Times New Roman" w:cs="Times New Roman"/>
          <w:sz w:val="26"/>
          <w:szCs w:val="26"/>
        </w:rPr>
        <w:t>повторно передано на розподіл між членами Комісії.</w:t>
      </w:r>
    </w:p>
    <w:p w:rsidR="00F97C42" w:rsidRDefault="00DD4286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0029">
        <w:rPr>
          <w:rFonts w:ascii="Times New Roman" w:hAnsi="Times New Roman" w:cs="Times New Roman"/>
          <w:sz w:val="26"/>
          <w:szCs w:val="26"/>
        </w:rPr>
        <w:t xml:space="preserve">Під час попередньої підготовки до розгляду </w:t>
      </w:r>
      <w:r w:rsidR="00FB6BAE">
        <w:rPr>
          <w:rFonts w:ascii="Times New Roman" w:hAnsi="Times New Roman" w:cs="Times New Roman"/>
          <w:sz w:val="26"/>
          <w:szCs w:val="26"/>
        </w:rPr>
        <w:t xml:space="preserve">зазначеного </w:t>
      </w:r>
      <w:r w:rsidRPr="00400029">
        <w:rPr>
          <w:rFonts w:ascii="Times New Roman" w:hAnsi="Times New Roman" w:cs="Times New Roman"/>
          <w:sz w:val="26"/>
          <w:szCs w:val="26"/>
        </w:rPr>
        <w:t xml:space="preserve">питання </w:t>
      </w:r>
      <w:r w:rsidR="00F97C42" w:rsidRPr="00F97C42">
        <w:rPr>
          <w:rFonts w:ascii="Times New Roman" w:hAnsi="Times New Roman" w:cs="Times New Roman"/>
          <w:sz w:val="26"/>
          <w:szCs w:val="26"/>
        </w:rPr>
        <w:t>встановлено таке.</w:t>
      </w:r>
    </w:p>
    <w:p w:rsidR="00F97C42" w:rsidRPr="00B40D72" w:rsidRDefault="00D53BA7" w:rsidP="00FB6B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4286">
        <w:rPr>
          <w:rFonts w:ascii="Times New Roman" w:hAnsi="Times New Roman" w:cs="Times New Roman"/>
          <w:sz w:val="26"/>
          <w:szCs w:val="26"/>
        </w:rPr>
        <w:t>Гладій Степан Васильович з 22 січня 1993 року – народний суддя Ленінського районного народного суду міста Полтави</w:t>
      </w:r>
      <w:r w:rsidR="00FB6BAE">
        <w:rPr>
          <w:rFonts w:ascii="Times New Roman" w:hAnsi="Times New Roman" w:cs="Times New Roman"/>
          <w:sz w:val="26"/>
          <w:szCs w:val="26"/>
        </w:rPr>
        <w:t>;</w:t>
      </w:r>
      <w:r w:rsidR="00FB6BAE" w:rsidRPr="00F97C42">
        <w:rPr>
          <w:rFonts w:ascii="Times New Roman" w:hAnsi="Times New Roman" w:cs="Times New Roman"/>
          <w:sz w:val="26"/>
          <w:szCs w:val="26"/>
        </w:rPr>
        <w:t xml:space="preserve"> </w:t>
      </w:r>
      <w:r w:rsidR="00F97C42" w:rsidRPr="00F97C42">
        <w:rPr>
          <w:rFonts w:ascii="Times New Roman" w:hAnsi="Times New Roman" w:cs="Times New Roman"/>
          <w:sz w:val="26"/>
          <w:szCs w:val="26"/>
        </w:rPr>
        <w:t>Постановою Верховної Ради України від 04 березня 1998 року №</w:t>
      </w:r>
      <w:r w:rsidR="005C1540">
        <w:rPr>
          <w:rFonts w:ascii="Times New Roman" w:hAnsi="Times New Roman" w:cs="Times New Roman"/>
          <w:sz w:val="26"/>
          <w:szCs w:val="26"/>
        </w:rPr>
        <w:t xml:space="preserve"> </w:t>
      </w:r>
      <w:r w:rsidR="00F97C42" w:rsidRPr="00F97C42">
        <w:rPr>
          <w:rFonts w:ascii="Times New Roman" w:hAnsi="Times New Roman" w:cs="Times New Roman"/>
          <w:sz w:val="26"/>
          <w:szCs w:val="26"/>
        </w:rPr>
        <w:t>161/98-ВР обраний на посаду судді Полтавсь</w:t>
      </w:r>
      <w:r w:rsidR="00FB6BAE">
        <w:rPr>
          <w:rFonts w:ascii="Times New Roman" w:hAnsi="Times New Roman" w:cs="Times New Roman"/>
          <w:sz w:val="26"/>
          <w:szCs w:val="26"/>
        </w:rPr>
        <w:t>кого обласного суду безстроково;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 Указом Президента України від 31</w:t>
      </w:r>
      <w:r w:rsidR="00FB6BAE">
        <w:rPr>
          <w:rFonts w:ascii="Times New Roman" w:hAnsi="Times New Roman" w:cs="Times New Roman"/>
          <w:sz w:val="26"/>
          <w:szCs w:val="26"/>
        </w:rPr>
        <w:t> 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липня 2009 року № 586/2009 переведений на </w:t>
      </w:r>
      <w:r w:rsidR="00F97C42" w:rsidRPr="00B40D72">
        <w:rPr>
          <w:rFonts w:ascii="Times New Roman" w:hAnsi="Times New Roman" w:cs="Times New Roman"/>
          <w:sz w:val="26"/>
          <w:szCs w:val="26"/>
        </w:rPr>
        <w:t>посаду судді</w:t>
      </w:r>
      <w:r w:rsidR="00FB6BAE">
        <w:rPr>
          <w:rFonts w:ascii="Times New Roman" w:hAnsi="Times New Roman" w:cs="Times New Roman"/>
          <w:sz w:val="26"/>
          <w:szCs w:val="26"/>
        </w:rPr>
        <w:t xml:space="preserve"> Апеляційного суду міста Києва; </w:t>
      </w:r>
      <w:r w:rsidR="00F97C42" w:rsidRPr="00B40D72">
        <w:rPr>
          <w:rFonts w:ascii="Times New Roman" w:hAnsi="Times New Roman" w:cs="Times New Roman"/>
          <w:sz w:val="26"/>
          <w:szCs w:val="26"/>
        </w:rPr>
        <w:t>Указом Президента України від 28 вересня 2018 року № 297/2018 переведений на посаду судд</w:t>
      </w:r>
      <w:r w:rsidR="00FB6BAE">
        <w:rPr>
          <w:rFonts w:ascii="Times New Roman" w:hAnsi="Times New Roman" w:cs="Times New Roman"/>
          <w:sz w:val="26"/>
          <w:szCs w:val="26"/>
        </w:rPr>
        <w:t xml:space="preserve">і Київського апеляційного суду; </w:t>
      </w:r>
      <w:r w:rsidR="005C1540">
        <w:rPr>
          <w:rFonts w:ascii="Times New Roman" w:hAnsi="Times New Roman" w:cs="Times New Roman"/>
          <w:sz w:val="26"/>
          <w:szCs w:val="26"/>
        </w:rPr>
        <w:t>р</w:t>
      </w:r>
      <w:r w:rsidR="00F97C42" w:rsidRPr="00B40D72">
        <w:rPr>
          <w:rFonts w:ascii="Times New Roman" w:hAnsi="Times New Roman" w:cs="Times New Roman"/>
          <w:sz w:val="26"/>
          <w:szCs w:val="26"/>
        </w:rPr>
        <w:t xml:space="preserve">ішенням Вищої ради правосуддя від 18 квітня 2023 року № 372/0/15-23 </w:t>
      </w:r>
      <w:r w:rsidR="00FB6BAE">
        <w:rPr>
          <w:rFonts w:ascii="Times New Roman" w:hAnsi="Times New Roman" w:cs="Times New Roman"/>
          <w:sz w:val="26"/>
          <w:szCs w:val="26"/>
        </w:rPr>
        <w:t>звільнений</w:t>
      </w:r>
      <w:r w:rsidR="00F97C42" w:rsidRPr="00B40D72">
        <w:rPr>
          <w:rFonts w:ascii="Times New Roman" w:hAnsi="Times New Roman" w:cs="Times New Roman"/>
          <w:sz w:val="26"/>
          <w:szCs w:val="26"/>
        </w:rPr>
        <w:t xml:space="preserve"> з посади суд</w:t>
      </w:r>
      <w:r w:rsidR="00FB6BAE">
        <w:rPr>
          <w:rFonts w:ascii="Times New Roman" w:hAnsi="Times New Roman" w:cs="Times New Roman"/>
          <w:sz w:val="26"/>
          <w:szCs w:val="26"/>
        </w:rPr>
        <w:t xml:space="preserve">ді Київського апеляційного суду, </w:t>
      </w:r>
      <w:r w:rsidR="00F97C42" w:rsidRPr="00B40D72">
        <w:rPr>
          <w:rFonts w:ascii="Times New Roman" w:hAnsi="Times New Roman" w:cs="Times New Roman"/>
          <w:sz w:val="26"/>
          <w:szCs w:val="26"/>
        </w:rPr>
        <w:t>наказом Київ</w:t>
      </w:r>
      <w:r w:rsidR="00D12A93">
        <w:rPr>
          <w:rFonts w:ascii="Times New Roman" w:hAnsi="Times New Roman" w:cs="Times New Roman"/>
          <w:sz w:val="26"/>
          <w:szCs w:val="26"/>
        </w:rPr>
        <w:t>ського апеляційного суду від 19</w:t>
      </w:r>
      <w:r w:rsidR="00FB6BAE">
        <w:rPr>
          <w:rFonts w:ascii="Times New Roman" w:hAnsi="Times New Roman" w:cs="Times New Roman"/>
          <w:sz w:val="26"/>
          <w:szCs w:val="26"/>
        </w:rPr>
        <w:t> </w:t>
      </w:r>
      <w:r w:rsidR="00D12A93">
        <w:rPr>
          <w:rFonts w:ascii="Times New Roman" w:hAnsi="Times New Roman" w:cs="Times New Roman"/>
          <w:sz w:val="26"/>
          <w:szCs w:val="26"/>
        </w:rPr>
        <w:t>квітня</w:t>
      </w:r>
      <w:r w:rsidR="00FB6BAE">
        <w:rPr>
          <w:rFonts w:ascii="Times New Roman" w:hAnsi="Times New Roman" w:cs="Times New Roman"/>
          <w:sz w:val="26"/>
          <w:szCs w:val="26"/>
        </w:rPr>
        <w:t> </w:t>
      </w:r>
      <w:r w:rsidR="00F97C42" w:rsidRPr="00B40D72">
        <w:rPr>
          <w:rFonts w:ascii="Times New Roman" w:hAnsi="Times New Roman" w:cs="Times New Roman"/>
          <w:sz w:val="26"/>
          <w:szCs w:val="26"/>
        </w:rPr>
        <w:t>2023 року №</w:t>
      </w:r>
      <w:r w:rsidR="00FB6BAE">
        <w:rPr>
          <w:rFonts w:ascii="Times New Roman" w:hAnsi="Times New Roman" w:cs="Times New Roman"/>
          <w:sz w:val="26"/>
          <w:szCs w:val="26"/>
        </w:rPr>
        <w:t xml:space="preserve"> 245-ОС відрахований</w:t>
      </w:r>
      <w:r w:rsidR="00F97C42" w:rsidRPr="00B40D72">
        <w:rPr>
          <w:rFonts w:ascii="Times New Roman" w:hAnsi="Times New Roman" w:cs="Times New Roman"/>
          <w:sz w:val="26"/>
          <w:szCs w:val="26"/>
        </w:rPr>
        <w:t xml:space="preserve"> зі штату цього суду.</w:t>
      </w:r>
    </w:p>
    <w:p w:rsidR="00DD4286" w:rsidRPr="00B40D72" w:rsidRDefault="00B40D72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D72">
        <w:rPr>
          <w:rFonts w:ascii="Times New Roman" w:hAnsi="Times New Roman" w:cs="Times New Roman"/>
          <w:sz w:val="26"/>
          <w:szCs w:val="26"/>
        </w:rPr>
        <w:t xml:space="preserve">Відповідно до частини першої </w:t>
      </w:r>
      <w:r w:rsidR="009C0B75" w:rsidRPr="00B40D72">
        <w:rPr>
          <w:rFonts w:ascii="Times New Roman" w:hAnsi="Times New Roman" w:cs="Times New Roman"/>
          <w:sz w:val="26"/>
          <w:szCs w:val="26"/>
        </w:rPr>
        <w:t>статті 62 Закону суддя зобов’язаний щорічно до 1 лютого подавати шляхом заповнення на офіційному веб-сайті Вищої кваліфікаційної комісії суддів України декларацію доброчесності за фор</w:t>
      </w:r>
      <w:r w:rsidR="00D4118C">
        <w:rPr>
          <w:rFonts w:ascii="Times New Roman" w:hAnsi="Times New Roman" w:cs="Times New Roman"/>
          <w:sz w:val="26"/>
          <w:szCs w:val="26"/>
        </w:rPr>
        <w:t xml:space="preserve">мою, що визначається Комісією. </w:t>
      </w:r>
      <w:r w:rsidR="009C0B75" w:rsidRPr="00B40D72">
        <w:rPr>
          <w:rFonts w:ascii="Times New Roman" w:hAnsi="Times New Roman" w:cs="Times New Roman"/>
          <w:sz w:val="26"/>
          <w:szCs w:val="26"/>
        </w:rPr>
        <w:t>У</w:t>
      </w:r>
      <w:r w:rsidR="00DD4286" w:rsidRPr="00B40D72">
        <w:rPr>
          <w:rFonts w:ascii="Times New Roman" w:hAnsi="Times New Roman" w:cs="Times New Roman"/>
          <w:sz w:val="26"/>
          <w:szCs w:val="26"/>
        </w:rPr>
        <w:t xml:space="preserve">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</w:t>
      </w:r>
      <w:r w:rsidR="009C0B75" w:rsidRPr="00B40D72">
        <w:rPr>
          <w:rFonts w:ascii="Times New Roman" w:hAnsi="Times New Roman" w:cs="Times New Roman"/>
          <w:sz w:val="26"/>
          <w:szCs w:val="26"/>
        </w:rPr>
        <w:t xml:space="preserve"> (частина </w:t>
      </w:r>
      <w:r w:rsidRPr="00B40D72">
        <w:rPr>
          <w:rFonts w:ascii="Times New Roman" w:hAnsi="Times New Roman" w:cs="Times New Roman"/>
          <w:sz w:val="26"/>
          <w:szCs w:val="26"/>
        </w:rPr>
        <w:t xml:space="preserve">шістнадцята </w:t>
      </w:r>
      <w:r w:rsidR="009C0B75" w:rsidRPr="00B40D72">
        <w:rPr>
          <w:rFonts w:ascii="Times New Roman" w:hAnsi="Times New Roman" w:cs="Times New Roman"/>
          <w:sz w:val="26"/>
          <w:szCs w:val="26"/>
        </w:rPr>
        <w:t xml:space="preserve">статті 62 Закону). </w:t>
      </w:r>
      <w:r w:rsidR="00D4118C">
        <w:rPr>
          <w:color w:val="333333"/>
          <w:shd w:val="clear" w:color="auto" w:fill="FFFFFF"/>
        </w:rPr>
        <w:t xml:space="preserve"> </w:t>
      </w:r>
      <w:r w:rsidR="009C0B75" w:rsidRPr="00B40D72">
        <w:rPr>
          <w:rFonts w:ascii="Times New Roman" w:hAnsi="Times New Roman" w:cs="Times New Roman"/>
          <w:sz w:val="26"/>
          <w:szCs w:val="26"/>
        </w:rPr>
        <w:t xml:space="preserve">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 (частина </w:t>
      </w:r>
      <w:r w:rsidRPr="00B40D72">
        <w:rPr>
          <w:rFonts w:ascii="Times New Roman" w:hAnsi="Times New Roman" w:cs="Times New Roman"/>
          <w:sz w:val="26"/>
          <w:szCs w:val="26"/>
        </w:rPr>
        <w:t xml:space="preserve">сімнадцята </w:t>
      </w:r>
      <w:r w:rsidR="009C0B75" w:rsidRPr="00B40D72">
        <w:rPr>
          <w:rFonts w:ascii="Times New Roman" w:hAnsi="Times New Roman" w:cs="Times New Roman"/>
          <w:sz w:val="26"/>
          <w:szCs w:val="26"/>
        </w:rPr>
        <w:t xml:space="preserve">статті 62 Закону). </w:t>
      </w:r>
    </w:p>
    <w:p w:rsidR="0071283F" w:rsidRPr="00B40D72" w:rsidRDefault="009C0B75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D72">
        <w:rPr>
          <w:rFonts w:ascii="Times New Roman" w:hAnsi="Times New Roman" w:cs="Times New Roman"/>
          <w:sz w:val="26"/>
          <w:szCs w:val="26"/>
        </w:rPr>
        <w:t>На переконання Комісії</w:t>
      </w:r>
      <w:r w:rsidR="00FB6BAE">
        <w:rPr>
          <w:rFonts w:ascii="Times New Roman" w:hAnsi="Times New Roman" w:cs="Times New Roman"/>
          <w:sz w:val="26"/>
          <w:szCs w:val="26"/>
        </w:rPr>
        <w:t>,</w:t>
      </w:r>
      <w:r w:rsidRPr="00B40D72">
        <w:rPr>
          <w:rFonts w:ascii="Times New Roman" w:hAnsi="Times New Roman" w:cs="Times New Roman"/>
          <w:sz w:val="26"/>
          <w:szCs w:val="26"/>
        </w:rPr>
        <w:t xml:space="preserve"> декларація доброчесності судді є одним з інструментів</w:t>
      </w:r>
      <w:r w:rsidR="00FB6BAE">
        <w:rPr>
          <w:rFonts w:ascii="Times New Roman" w:hAnsi="Times New Roman" w:cs="Times New Roman"/>
          <w:sz w:val="26"/>
          <w:szCs w:val="26"/>
        </w:rPr>
        <w:t>,</w:t>
      </w:r>
      <w:r w:rsidRPr="00B40D72">
        <w:rPr>
          <w:rFonts w:ascii="Times New Roman" w:hAnsi="Times New Roman" w:cs="Times New Roman"/>
          <w:sz w:val="26"/>
          <w:szCs w:val="26"/>
        </w:rPr>
        <w:t xml:space="preserve"> запроваджених законодавцем</w:t>
      </w:r>
      <w:r w:rsidR="00FB6BAE">
        <w:rPr>
          <w:rFonts w:ascii="Times New Roman" w:hAnsi="Times New Roman" w:cs="Times New Roman"/>
          <w:sz w:val="26"/>
          <w:szCs w:val="26"/>
        </w:rPr>
        <w:t>,</w:t>
      </w:r>
      <w:r w:rsidRPr="00B40D72">
        <w:rPr>
          <w:rFonts w:ascii="Times New Roman" w:hAnsi="Times New Roman" w:cs="Times New Roman"/>
          <w:sz w:val="26"/>
          <w:szCs w:val="26"/>
        </w:rPr>
        <w:t xml:space="preserve"> для підвищення довіри до судової системи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 </w:t>
      </w:r>
      <w:r w:rsidR="004523AB" w:rsidRPr="00B40D72">
        <w:rPr>
          <w:rFonts w:ascii="Times New Roman" w:hAnsi="Times New Roman" w:cs="Times New Roman"/>
          <w:sz w:val="26"/>
          <w:szCs w:val="26"/>
        </w:rPr>
        <w:t>та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 підтримання її </w:t>
      </w:r>
      <w:r w:rsidR="004523AB" w:rsidRPr="00B40D72">
        <w:rPr>
          <w:rFonts w:ascii="Times New Roman" w:hAnsi="Times New Roman" w:cs="Times New Roman"/>
          <w:sz w:val="26"/>
          <w:szCs w:val="26"/>
        </w:rPr>
        <w:t xml:space="preserve">авторитету </w:t>
      </w:r>
      <w:r w:rsidR="0071283F" w:rsidRPr="00B40D72">
        <w:rPr>
          <w:rFonts w:ascii="Times New Roman" w:hAnsi="Times New Roman" w:cs="Times New Roman"/>
          <w:sz w:val="26"/>
          <w:szCs w:val="26"/>
        </w:rPr>
        <w:t>на високому рівні. Заповнення декларації доброчесності судді є тягарем, що покладається на суддю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="005C1540">
        <w:rPr>
          <w:rFonts w:ascii="Times New Roman" w:hAnsi="Times New Roman" w:cs="Times New Roman"/>
          <w:sz w:val="26"/>
          <w:szCs w:val="26"/>
        </w:rPr>
        <w:t>у зв’язку з його статусом</w:t>
      </w:r>
      <w:r w:rsidR="00B40D72" w:rsidRPr="00B40D72">
        <w:rPr>
          <w:rFonts w:ascii="Times New Roman" w:hAnsi="Times New Roman" w:cs="Times New Roman"/>
          <w:sz w:val="26"/>
          <w:szCs w:val="26"/>
        </w:rPr>
        <w:t xml:space="preserve"> 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і забезпечується </w:t>
      </w:r>
      <w:r w:rsidR="00FB6BAE">
        <w:rPr>
          <w:rFonts w:ascii="Times New Roman" w:hAnsi="Times New Roman" w:cs="Times New Roman"/>
          <w:sz w:val="26"/>
          <w:szCs w:val="26"/>
        </w:rPr>
        <w:t>шляхом притягнення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 судді до дисциплінарної відповідальності у разі підтвердження </w:t>
      </w:r>
      <w:r w:rsidR="0071283F" w:rsidRPr="00B40D72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інформації, яка може свідчити про недостовірність (у тому числі неповноту) тверджень у декларації доброчесності</w:t>
      </w:r>
      <w:r w:rsidR="0071283F" w:rsidRPr="00B40D72">
        <w:rPr>
          <w:rFonts w:ascii="Times New Roman" w:hAnsi="Times New Roman" w:cs="Times New Roman"/>
          <w:sz w:val="26"/>
          <w:szCs w:val="26"/>
        </w:rPr>
        <w:t>.</w:t>
      </w:r>
      <w:r w:rsidR="004523AB" w:rsidRPr="00B40D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0B75" w:rsidRDefault="00FB6BAE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бов’язок </w:t>
      </w:r>
      <w:r w:rsidR="004523AB" w:rsidRPr="00B40D72">
        <w:rPr>
          <w:rFonts w:ascii="Times New Roman" w:hAnsi="Times New Roman" w:cs="Times New Roman"/>
          <w:sz w:val="26"/>
          <w:szCs w:val="26"/>
        </w:rPr>
        <w:t>заповнення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 декларації доброчесності судді не може бути покладено на особу, яка </w:t>
      </w:r>
      <w:r w:rsidR="004523AB" w:rsidRPr="00B40D72">
        <w:rPr>
          <w:rFonts w:ascii="Times New Roman" w:hAnsi="Times New Roman" w:cs="Times New Roman"/>
          <w:sz w:val="26"/>
          <w:szCs w:val="26"/>
        </w:rPr>
        <w:t xml:space="preserve">не наділена </w:t>
      </w:r>
      <w:r w:rsidR="0071283F" w:rsidRPr="00B40D72">
        <w:rPr>
          <w:rFonts w:ascii="Times New Roman" w:hAnsi="Times New Roman" w:cs="Times New Roman"/>
          <w:sz w:val="26"/>
          <w:szCs w:val="26"/>
        </w:rPr>
        <w:t>відповідним ста</w:t>
      </w:r>
      <w:r>
        <w:rPr>
          <w:rFonts w:ascii="Times New Roman" w:hAnsi="Times New Roman" w:cs="Times New Roman"/>
          <w:sz w:val="26"/>
          <w:szCs w:val="26"/>
        </w:rPr>
        <w:t>тусом, крім кандидатів на посаду судді</w:t>
      </w:r>
      <w:r w:rsidR="0071283F" w:rsidRPr="00B40D7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5C1540">
        <w:rPr>
          <w:rFonts w:ascii="Times New Roman" w:hAnsi="Times New Roman" w:cs="Times New Roman"/>
          <w:sz w:val="26"/>
          <w:szCs w:val="26"/>
        </w:rPr>
        <w:t>може бути здійснено перевірку</w:t>
      </w:r>
      <w:r w:rsidR="004523AB" w:rsidRPr="00B40D72">
        <w:rPr>
          <w:rFonts w:ascii="Times New Roman" w:hAnsi="Times New Roman" w:cs="Times New Roman"/>
          <w:sz w:val="26"/>
          <w:szCs w:val="26"/>
        </w:rPr>
        <w:t xml:space="preserve"> декларацій осіб, які втратили статус судді або ж перебувають у відставці. Це зумовлено як самою метою запровадження зазначених інструментів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4523AB" w:rsidRPr="00B40D72">
        <w:rPr>
          <w:rFonts w:ascii="Times New Roman" w:hAnsi="Times New Roman" w:cs="Times New Roman"/>
          <w:sz w:val="26"/>
          <w:szCs w:val="26"/>
        </w:rPr>
        <w:t xml:space="preserve"> так і неможливістю вжиття будь-яких негативних заходів впливу на таку особу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523AB" w:rsidRPr="00B40D72">
        <w:rPr>
          <w:rFonts w:ascii="Times New Roman" w:hAnsi="Times New Roman" w:cs="Times New Roman"/>
          <w:sz w:val="26"/>
          <w:szCs w:val="26"/>
        </w:rPr>
        <w:t xml:space="preserve">разі підтвердження </w:t>
      </w:r>
      <w:r w:rsidR="004523AB" w:rsidRPr="00B40D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інформації, яка може свідчити про недостовірність (у тому числі неповноту) тверджень у </w:t>
      </w:r>
      <w:bookmarkStart w:id="0" w:name="_GoBack"/>
      <w:bookmarkEnd w:id="0"/>
      <w:r w:rsidR="004523AB" w:rsidRPr="00B40D72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 доброчесності</w:t>
      </w:r>
      <w:r w:rsidR="00B40D72" w:rsidRPr="00B40D7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00029" w:rsidRPr="00400029" w:rsidRDefault="00400029" w:rsidP="00400029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029">
        <w:rPr>
          <w:rFonts w:ascii="Times New Roman" w:hAnsi="Times New Roman" w:cs="Times New Roman"/>
          <w:sz w:val="26"/>
          <w:szCs w:val="26"/>
        </w:rPr>
        <w:t>Підпунктом 6.2.2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Pr="00400029">
        <w:rPr>
          <w:rFonts w:ascii="Times New Roman" w:hAnsi="Times New Roman" w:cs="Times New Roman"/>
          <w:sz w:val="26"/>
          <w:szCs w:val="26"/>
        </w:rPr>
        <w:t>пункту 6.2</w:t>
      </w:r>
      <w:r w:rsidR="00FB6BAE">
        <w:rPr>
          <w:rFonts w:ascii="Times New Roman" w:hAnsi="Times New Roman" w:cs="Times New Roman"/>
          <w:sz w:val="26"/>
          <w:szCs w:val="26"/>
        </w:rPr>
        <w:t xml:space="preserve"> </w:t>
      </w:r>
      <w:r w:rsidRPr="00400029">
        <w:rPr>
          <w:rFonts w:ascii="Times New Roman" w:hAnsi="Times New Roman" w:cs="Times New Roman"/>
          <w:sz w:val="26"/>
          <w:szCs w:val="26"/>
        </w:rPr>
        <w:t>розділу VI Регламенту Вищої кваліфікаційної комісії суддів України, затвердженого рішенням Вищої кваліфікаційної комісії суддів України від 13 жовтня 2016 року № 8</w:t>
      </w:r>
      <w:r w:rsidR="00FB6BAE">
        <w:rPr>
          <w:rFonts w:ascii="Times New Roman" w:hAnsi="Times New Roman" w:cs="Times New Roman"/>
          <w:sz w:val="26"/>
          <w:szCs w:val="26"/>
        </w:rPr>
        <w:t xml:space="preserve">1/зп-16 (зі змінами), </w:t>
      </w:r>
      <w:r w:rsidRPr="00400029">
        <w:rPr>
          <w:rFonts w:ascii="Times New Roman" w:hAnsi="Times New Roman" w:cs="Times New Roman"/>
          <w:sz w:val="26"/>
          <w:szCs w:val="26"/>
        </w:rPr>
        <w:t>передбачено, що розгляд повідомлення та проведення перевірки декларації родинних зв’язків судді та декларації доброчесності судді здійснюється членом Комісії, визначеним за результатами розподілу автоматизованою системою в порядку, встановленому Положенням про автоматизовану систему визначення членів Вищої кваліфікаційної комісії суддів України для підготовки до розгляду і доповіді справ.</w:t>
      </w:r>
    </w:p>
    <w:p w:rsidR="00F97C42" w:rsidRPr="00F97C42" w:rsidRDefault="00F97C42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D72">
        <w:rPr>
          <w:rFonts w:ascii="Times New Roman" w:hAnsi="Times New Roman" w:cs="Times New Roman"/>
          <w:sz w:val="26"/>
          <w:szCs w:val="26"/>
        </w:rPr>
        <w:lastRenderedPageBreak/>
        <w:t xml:space="preserve">Відповідно до підпункту 6.2.3 пункту 6.2 розділу </w:t>
      </w:r>
      <w:r w:rsidRPr="00B40D72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B40D72">
        <w:rPr>
          <w:rFonts w:ascii="Times New Roman" w:hAnsi="Times New Roman" w:cs="Times New Roman"/>
          <w:sz w:val="26"/>
          <w:szCs w:val="26"/>
        </w:rPr>
        <w:t xml:space="preserve"> </w:t>
      </w:r>
      <w:r w:rsidR="00FB6BAE" w:rsidRPr="00400029">
        <w:rPr>
          <w:rFonts w:ascii="Times New Roman" w:hAnsi="Times New Roman" w:cs="Times New Roman"/>
          <w:sz w:val="26"/>
          <w:szCs w:val="26"/>
        </w:rPr>
        <w:t>Регламенту Вищої кваліфікаційної комісії суддів України, затвердженого рішенням Вищої кваліфікаційної комісії суддів України від 13 жовтня 2016 року № 8</w:t>
      </w:r>
      <w:r w:rsidR="00FB6BAE">
        <w:rPr>
          <w:rFonts w:ascii="Times New Roman" w:hAnsi="Times New Roman" w:cs="Times New Roman"/>
          <w:sz w:val="26"/>
          <w:szCs w:val="26"/>
        </w:rPr>
        <w:t>1/зп-16 (зі змінами)</w:t>
      </w:r>
      <w:r w:rsidR="005C1540">
        <w:rPr>
          <w:rFonts w:ascii="Times New Roman" w:hAnsi="Times New Roman" w:cs="Times New Roman"/>
          <w:sz w:val="26"/>
          <w:szCs w:val="26"/>
        </w:rPr>
        <w:t>,</w:t>
      </w:r>
      <w:r w:rsidRPr="00B40D72">
        <w:rPr>
          <w:rFonts w:ascii="Times New Roman" w:hAnsi="Times New Roman" w:cs="Times New Roman"/>
          <w:sz w:val="26"/>
          <w:szCs w:val="26"/>
        </w:rPr>
        <w:t xml:space="preserve"> повідомлення, які</w:t>
      </w:r>
      <w:r w:rsidRPr="00F97C42">
        <w:rPr>
          <w:rFonts w:ascii="Times New Roman" w:hAnsi="Times New Roman" w:cs="Times New Roman"/>
          <w:sz w:val="26"/>
          <w:szCs w:val="26"/>
        </w:rPr>
        <w:t xml:space="preserve"> стосуються суддів, звільнених з посад або повноваження яких припинилися, чи суддів у відставці, розгляду не підлягають, про що має бути проінформовано заявника. </w:t>
      </w:r>
    </w:p>
    <w:p w:rsidR="00F97C42" w:rsidRPr="00F97C42" w:rsidRDefault="00620368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Заслухавши члена Комісії – доповідача, встановивши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, що </w:t>
      </w:r>
      <w:r w:rsidR="004523AB">
        <w:rPr>
          <w:rFonts w:ascii="Times New Roman" w:hAnsi="Times New Roman" w:cs="Times New Roman"/>
          <w:sz w:val="26"/>
          <w:szCs w:val="26"/>
        </w:rPr>
        <w:t>на момент розгляду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 </w:t>
      </w:r>
      <w:r w:rsidR="00FB6BAE">
        <w:rPr>
          <w:rFonts w:ascii="Times New Roman" w:hAnsi="Times New Roman" w:cs="Times New Roman"/>
          <w:sz w:val="26"/>
          <w:szCs w:val="26"/>
        </w:rPr>
        <w:t xml:space="preserve">справи </w:t>
      </w:r>
      <w:r w:rsidR="005C1540">
        <w:rPr>
          <w:rFonts w:ascii="Times New Roman" w:hAnsi="Times New Roman" w:cs="Times New Roman"/>
          <w:sz w:val="26"/>
          <w:szCs w:val="26"/>
        </w:rPr>
        <w:t>Гладія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 </w:t>
      </w:r>
      <w:r w:rsidR="00FB6BAE">
        <w:rPr>
          <w:rFonts w:ascii="Times New Roman" w:hAnsi="Times New Roman" w:cs="Times New Roman"/>
          <w:sz w:val="26"/>
          <w:szCs w:val="26"/>
        </w:rPr>
        <w:t xml:space="preserve">С.В. </w:t>
      </w:r>
      <w:r w:rsidR="005C1540">
        <w:rPr>
          <w:rFonts w:ascii="Times New Roman" w:hAnsi="Times New Roman" w:cs="Times New Roman"/>
          <w:sz w:val="26"/>
          <w:szCs w:val="26"/>
        </w:rPr>
        <w:t>звільнено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 з посади судді Київського апеляційного суду, Комісія вважає, що повідомлення Маселка </w:t>
      </w:r>
      <w:r w:rsidR="00FB6BAE">
        <w:rPr>
          <w:rFonts w:ascii="Times New Roman" w:hAnsi="Times New Roman" w:cs="Times New Roman"/>
          <w:sz w:val="26"/>
          <w:szCs w:val="26"/>
        </w:rPr>
        <w:t xml:space="preserve">Р.А. </w:t>
      </w:r>
      <w:r w:rsidR="00B40D72"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щодо інформації, яка може свідчити про недостовірність (у тому числі неповноту) тверджень, вказаних суддею Апеляційного суду міста Києва Гладієм </w:t>
      </w:r>
      <w:r w:rsidR="00FB6BAE">
        <w:rPr>
          <w:rFonts w:ascii="Times New Roman" w:hAnsi="Times New Roman" w:cs="Times New Roman"/>
          <w:sz w:val="26"/>
          <w:szCs w:val="26"/>
          <w:shd w:val="clear" w:color="auto" w:fill="FFFFFF"/>
        </w:rPr>
        <w:t>С.В. у деклараціях,</w:t>
      </w:r>
      <w:r w:rsidR="00B40D72" w:rsidRPr="00B40D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4523AB">
        <w:rPr>
          <w:rFonts w:ascii="Times New Roman" w:hAnsi="Times New Roman" w:cs="Times New Roman"/>
          <w:sz w:val="26"/>
          <w:szCs w:val="26"/>
        </w:rPr>
        <w:t>підлягає залишенню</w:t>
      </w:r>
      <w:r w:rsidR="00F97C42" w:rsidRPr="00F97C42">
        <w:rPr>
          <w:rFonts w:ascii="Times New Roman" w:hAnsi="Times New Roman" w:cs="Times New Roman"/>
          <w:sz w:val="26"/>
          <w:szCs w:val="26"/>
        </w:rPr>
        <w:t xml:space="preserve"> без розгляду.</w:t>
      </w:r>
    </w:p>
    <w:p w:rsidR="00F97C42" w:rsidRPr="00F97C42" w:rsidRDefault="00F97C42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 xml:space="preserve">Керуючись статтями 61,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</w:t>
      </w:r>
    </w:p>
    <w:p w:rsidR="00F97C42" w:rsidRPr="00F97C42" w:rsidRDefault="00F97C42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F97C42" w:rsidRPr="00F97C42" w:rsidRDefault="00F97C42" w:rsidP="00F97C4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F97C42">
        <w:rPr>
          <w:rFonts w:ascii="Times New Roman" w:hAnsi="Times New Roman" w:cs="Times New Roman"/>
          <w:bCs/>
          <w:sz w:val="26"/>
          <w:szCs w:val="26"/>
          <w:lang w:eastAsia="uk-UA"/>
        </w:rPr>
        <w:t>вирішила:</w:t>
      </w:r>
    </w:p>
    <w:p w:rsidR="00F97C42" w:rsidRPr="00F97C42" w:rsidRDefault="00F97C42" w:rsidP="00F97C4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F97C42" w:rsidRPr="00F97C42" w:rsidRDefault="00B40D72" w:rsidP="00F97C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 Маселка Романа Анатолійовича щодо інформації, яка може свідчити про недостовірність (у то</w:t>
      </w:r>
      <w:r w:rsidR="00836AF7">
        <w:rPr>
          <w:rFonts w:ascii="Times New Roman" w:hAnsi="Times New Roman" w:cs="Times New Roman"/>
          <w:sz w:val="26"/>
          <w:szCs w:val="26"/>
          <w:shd w:val="clear" w:color="auto" w:fill="FFFFFF"/>
        </w:rPr>
        <w:t>му числі неповноту) тверджень, у</w:t>
      </w:r>
      <w:r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 суддею Апеляційного суду міста Києва Гладієм Степаном Васильовичем у декларації доброчесності за 2016 та 2017 роки</w:t>
      </w:r>
      <w:r w:rsidR="00FB6BA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B40D7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615068">
        <w:rPr>
          <w:rFonts w:ascii="Times New Roman" w:hAnsi="Times New Roman" w:cs="Times New Roman"/>
          <w:sz w:val="26"/>
          <w:szCs w:val="26"/>
        </w:rPr>
        <w:t>залишити</w:t>
      </w:r>
      <w:r w:rsidR="004523AB" w:rsidRPr="004523AB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4523AB" w:rsidRPr="00F97C42">
        <w:rPr>
          <w:rFonts w:ascii="Times New Roman" w:hAnsi="Times New Roman" w:cs="Times New Roman"/>
          <w:bCs/>
          <w:sz w:val="26"/>
          <w:szCs w:val="26"/>
          <w:lang w:eastAsia="uk-UA"/>
        </w:rPr>
        <w:t>без розгляду</w:t>
      </w:r>
      <w:r w:rsidR="00F97C42" w:rsidRPr="00F97C42">
        <w:rPr>
          <w:rFonts w:ascii="Times New Roman" w:hAnsi="Times New Roman" w:cs="Times New Roman"/>
          <w:sz w:val="26"/>
          <w:szCs w:val="26"/>
        </w:rPr>
        <w:t>.</w:t>
      </w:r>
    </w:p>
    <w:p w:rsidR="00F97C42" w:rsidRPr="00F97C4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7C42" w:rsidRPr="00F97C4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7C42" w:rsidRPr="00F97C4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Головуючий</w:t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="00B40D72" w:rsidRPr="00FB6BAE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620368">
        <w:rPr>
          <w:rFonts w:ascii="Times New Roman" w:hAnsi="Times New Roman" w:cs="Times New Roman"/>
          <w:sz w:val="26"/>
          <w:szCs w:val="26"/>
        </w:rPr>
        <w:t>С.Ю. Чумак</w:t>
      </w:r>
    </w:p>
    <w:p w:rsidR="00F97C42" w:rsidRPr="00F97C4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7C4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Члени Комісії:</w:t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="00620368">
        <w:rPr>
          <w:rFonts w:ascii="Times New Roman" w:hAnsi="Times New Roman" w:cs="Times New Roman"/>
          <w:sz w:val="26"/>
          <w:szCs w:val="26"/>
        </w:rPr>
        <w:t xml:space="preserve">          А.В. Пасічник</w:t>
      </w:r>
    </w:p>
    <w:p w:rsidR="00620368" w:rsidRDefault="00620368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20368" w:rsidRPr="00F97C42" w:rsidRDefault="00620368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Р.Б. Сабодаш</w:t>
      </w:r>
    </w:p>
    <w:p w:rsidR="00F97C42" w:rsidRPr="00F97C42" w:rsidRDefault="00F97C42" w:rsidP="00F97C42">
      <w:pPr>
        <w:rPr>
          <w:rFonts w:ascii="Times New Roman" w:hAnsi="Times New Roman" w:cs="Times New Roman"/>
          <w:sz w:val="26"/>
          <w:szCs w:val="26"/>
        </w:rPr>
      </w:pPr>
    </w:p>
    <w:p w:rsidR="00F97C42" w:rsidRPr="00F97C42" w:rsidRDefault="00F97C42" w:rsidP="00F97C42">
      <w:pPr>
        <w:rPr>
          <w:rFonts w:ascii="Times New Roman" w:hAnsi="Times New Roman" w:cs="Times New Roman"/>
          <w:sz w:val="26"/>
          <w:szCs w:val="26"/>
        </w:rPr>
      </w:pPr>
    </w:p>
    <w:p w:rsidR="00B40D72" w:rsidRDefault="00B40D72"/>
    <w:sectPr w:rsidR="00B40D72" w:rsidSect="008B443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40" w:rsidRDefault="005C1540" w:rsidP="008B4431">
      <w:pPr>
        <w:spacing w:after="0" w:line="240" w:lineRule="auto"/>
      </w:pPr>
      <w:r>
        <w:separator/>
      </w:r>
    </w:p>
  </w:endnote>
  <w:endnote w:type="continuationSeparator" w:id="0">
    <w:p w:rsidR="005C1540" w:rsidRDefault="005C1540" w:rsidP="008B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40" w:rsidRDefault="005C1540" w:rsidP="008B4431">
      <w:pPr>
        <w:spacing w:after="0" w:line="240" w:lineRule="auto"/>
      </w:pPr>
      <w:r>
        <w:separator/>
      </w:r>
    </w:p>
  </w:footnote>
  <w:footnote w:type="continuationSeparator" w:id="0">
    <w:p w:rsidR="005C1540" w:rsidRDefault="005C1540" w:rsidP="008B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218026"/>
      <w:docPartObj>
        <w:docPartGallery w:val="Page Numbers (Top of Page)"/>
        <w:docPartUnique/>
      </w:docPartObj>
    </w:sdtPr>
    <w:sdtEndPr/>
    <w:sdtContent>
      <w:p w:rsidR="005C1540" w:rsidRDefault="005C1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C6" w:rsidRPr="00FB31C6">
          <w:rPr>
            <w:noProof/>
            <w:lang w:val="ru-RU"/>
          </w:rPr>
          <w:t>3</w:t>
        </w:r>
        <w:r>
          <w:fldChar w:fldCharType="end"/>
        </w:r>
      </w:p>
    </w:sdtContent>
  </w:sdt>
  <w:p w:rsidR="005C1540" w:rsidRDefault="005C154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921E8"/>
    <w:rsid w:val="00096A83"/>
    <w:rsid w:val="001809B6"/>
    <w:rsid w:val="00312BE9"/>
    <w:rsid w:val="00400029"/>
    <w:rsid w:val="004523AB"/>
    <w:rsid w:val="00463A64"/>
    <w:rsid w:val="00474281"/>
    <w:rsid w:val="005C1540"/>
    <w:rsid w:val="00615068"/>
    <w:rsid w:val="00620368"/>
    <w:rsid w:val="0071283F"/>
    <w:rsid w:val="00836AF7"/>
    <w:rsid w:val="008B4431"/>
    <w:rsid w:val="009C0B75"/>
    <w:rsid w:val="009E4BB0"/>
    <w:rsid w:val="00AD73EE"/>
    <w:rsid w:val="00AF0547"/>
    <w:rsid w:val="00B40D72"/>
    <w:rsid w:val="00D12A93"/>
    <w:rsid w:val="00D4118C"/>
    <w:rsid w:val="00D53BA7"/>
    <w:rsid w:val="00DD4286"/>
    <w:rsid w:val="00F510D6"/>
    <w:rsid w:val="00F97C42"/>
    <w:rsid w:val="00FB31C6"/>
    <w:rsid w:val="00F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6BAE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FB6BAE"/>
  </w:style>
  <w:style w:type="paragraph" w:styleId="a8">
    <w:name w:val="header"/>
    <w:basedOn w:val="a"/>
    <w:link w:val="a9"/>
    <w:uiPriority w:val="99"/>
    <w:unhideWhenUsed/>
    <w:rsid w:val="008B44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431"/>
  </w:style>
  <w:style w:type="paragraph" w:styleId="aa">
    <w:name w:val="footer"/>
    <w:basedOn w:val="a"/>
    <w:link w:val="ab"/>
    <w:uiPriority w:val="99"/>
    <w:unhideWhenUsed/>
    <w:rsid w:val="008B44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6BAE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FB6BAE"/>
  </w:style>
  <w:style w:type="paragraph" w:styleId="a8">
    <w:name w:val="header"/>
    <w:basedOn w:val="a"/>
    <w:link w:val="a9"/>
    <w:uiPriority w:val="99"/>
    <w:unhideWhenUsed/>
    <w:rsid w:val="008B44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431"/>
  </w:style>
  <w:style w:type="paragraph" w:styleId="aa">
    <w:name w:val="footer"/>
    <w:basedOn w:val="a"/>
    <w:link w:val="ab"/>
    <w:uiPriority w:val="99"/>
    <w:unhideWhenUsed/>
    <w:rsid w:val="008B44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4229</Words>
  <Characters>2411</Characters>
  <Application>Microsoft Office Word</Application>
  <DocSecurity>4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2023-08-07T12:11:00Z</cp:lastPrinted>
  <dcterms:created xsi:type="dcterms:W3CDTF">2023-08-08T12:13:00Z</dcterms:created>
  <dcterms:modified xsi:type="dcterms:W3CDTF">2023-08-08T12:13:00Z</dcterms:modified>
</cp:coreProperties>
</file>