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C22B51" w:rsidRDefault="00CD0968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8C552B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8C552B">
        <w:rPr>
          <w:sz w:val="26"/>
          <w:szCs w:val="26"/>
          <w:u w:val="single"/>
        </w:rPr>
        <w:t>35/дс-25</w:t>
      </w:r>
    </w:p>
    <w:p w:rsidR="00973856" w:rsidRPr="00CD0968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CD0968" w:rsidRPr="00CD0968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CD0968">
        <w:rPr>
          <w:position w:val="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CD0968" w:rsidRPr="00CD0968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:rsidR="00CD0968" w:rsidRPr="00CD0968" w:rsidRDefault="00CD0968" w:rsidP="00CD0968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CD0968">
        <w:rPr>
          <w:position w:val="0"/>
          <w:sz w:val="26"/>
          <w:szCs w:val="26"/>
          <w:lang w:eastAsia="uk-UA"/>
        </w:rPr>
        <w:t>головуючого – Михайла БОГОНОСА</w:t>
      </w:r>
      <w:r w:rsidR="00234A42">
        <w:rPr>
          <w:position w:val="0"/>
          <w:sz w:val="26"/>
          <w:szCs w:val="26"/>
          <w:lang w:eastAsia="uk-UA"/>
        </w:rPr>
        <w:t xml:space="preserve"> (доповідач)</w:t>
      </w:r>
      <w:r w:rsidRPr="00CD0968">
        <w:rPr>
          <w:position w:val="0"/>
          <w:sz w:val="26"/>
          <w:szCs w:val="26"/>
          <w:lang w:eastAsia="uk-UA"/>
        </w:rPr>
        <w:t>,</w:t>
      </w:r>
    </w:p>
    <w:p w:rsidR="00CD0968" w:rsidRPr="00CD0968" w:rsidRDefault="00CD0968" w:rsidP="00CD0968">
      <w:pPr>
        <w:shd w:val="clear" w:color="auto" w:fill="FFFFFF"/>
        <w:tabs>
          <w:tab w:val="left" w:pos="3969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:rsidR="00CD0968" w:rsidRPr="00CD0968" w:rsidRDefault="00CD0968" w:rsidP="00CD0968">
      <w:pPr>
        <w:shd w:val="clear" w:color="auto" w:fill="FFFFFF"/>
        <w:tabs>
          <w:tab w:val="left" w:pos="3969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CD0968">
        <w:rPr>
          <w:position w:val="0"/>
          <w:sz w:val="26"/>
          <w:szCs w:val="26"/>
          <w:lang w:eastAsia="uk-UA"/>
        </w:rPr>
        <w:t>членів Комісії: Надії КОБЕЦЬКОЇ, Галини ШЕВЧУК,</w:t>
      </w:r>
    </w:p>
    <w:p w:rsidR="00CD0968" w:rsidRPr="00CD0968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:rsidR="00CD0968" w:rsidRPr="00CD0968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CD0968">
        <w:rPr>
          <w:position w:val="0"/>
          <w:sz w:val="26"/>
          <w:szCs w:val="26"/>
          <w:lang w:eastAsia="uk-UA"/>
        </w:rPr>
        <w:t xml:space="preserve">розглянувши питання допуску </w:t>
      </w:r>
      <w:r>
        <w:rPr>
          <w:position w:val="0"/>
          <w:sz w:val="26"/>
          <w:szCs w:val="26"/>
          <w:lang w:eastAsia="uk-UA"/>
        </w:rPr>
        <w:t>Дубицької Наталії Тарасівни</w:t>
      </w:r>
      <w:r w:rsidRPr="00CD0968">
        <w:rPr>
          <w:position w:val="0"/>
          <w:sz w:val="26"/>
          <w:szCs w:val="26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366/зп-24,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:rsidR="004A0C97" w:rsidRPr="00C22B51" w:rsidRDefault="004A0C97" w:rsidP="00CD0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</w:p>
    <w:p w:rsidR="004A0C97" w:rsidRPr="00690F5C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690F5C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690F5C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690F5C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690F5C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</w:t>
      </w:r>
      <w:r w:rsidR="001322FE">
        <w:rPr>
          <w:sz w:val="26"/>
          <w:szCs w:val="26"/>
        </w:rPr>
        <w:t>передбачено</w:t>
      </w:r>
      <w:r w:rsidRPr="00690F5C">
        <w:rPr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677DB1" w:rsidRDefault="001322FE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77DB1" w:rsidRPr="00677DB1">
        <w:rPr>
          <w:sz w:val="26"/>
          <w:szCs w:val="26"/>
        </w:rPr>
        <w:t>имог</w:t>
      </w:r>
      <w:r>
        <w:rPr>
          <w:sz w:val="26"/>
          <w:szCs w:val="26"/>
        </w:rPr>
        <w:t>ами</w:t>
      </w:r>
      <w:r w:rsidR="00677DB1" w:rsidRPr="00677DB1">
        <w:rPr>
          <w:sz w:val="26"/>
          <w:szCs w:val="26"/>
        </w:rPr>
        <w:t xml:space="preserve"> частини першої статті 69 Закону </w:t>
      </w:r>
      <w:r>
        <w:rPr>
          <w:sz w:val="26"/>
          <w:szCs w:val="26"/>
        </w:rPr>
        <w:t xml:space="preserve">передбачено, що </w:t>
      </w:r>
      <w:r w:rsidR="00677DB1" w:rsidRPr="00677DB1">
        <w:rPr>
          <w:sz w:val="26"/>
          <w:szCs w:val="26"/>
        </w:rPr>
        <w:t xml:space="preserve"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690F5C" w:rsidRDefault="007C3E26" w:rsidP="00CD0968">
      <w:pPr>
        <w:spacing w:line="240" w:lineRule="auto"/>
        <w:ind w:leftChars="0" w:left="1" w:firstLineChars="217" w:firstLine="564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CD0968">
        <w:rPr>
          <w:sz w:val="26"/>
          <w:szCs w:val="26"/>
          <w:shd w:val="clear" w:color="auto" w:fill="FFFFFF"/>
        </w:rPr>
        <w:t xml:space="preserve"> 22</w:t>
      </w:r>
      <w:r w:rsidR="008C552B">
        <w:rPr>
          <w:sz w:val="26"/>
          <w:szCs w:val="26"/>
          <w:shd w:val="clear" w:color="auto" w:fill="FFFFFF"/>
        </w:rPr>
        <w:t xml:space="preserve"> </w:t>
      </w:r>
      <w:r w:rsidR="00CD0968" w:rsidRPr="00690F5C">
        <w:rPr>
          <w:sz w:val="26"/>
          <w:szCs w:val="26"/>
          <w:shd w:val="clear" w:color="auto" w:fill="FFFFFF"/>
        </w:rPr>
        <w:t>березня 2025 року</w:t>
      </w:r>
      <w:r w:rsidR="00CD0968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CD0968">
        <w:rPr>
          <w:sz w:val="26"/>
          <w:szCs w:val="26"/>
          <w:shd w:val="clear" w:color="auto" w:fill="FFFFFF"/>
        </w:rPr>
        <w:t>а Дубицької Наталії Тарасівни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:rsidR="00056DC9" w:rsidRDefault="00056DC9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:rsidR="00EB65A7" w:rsidRDefault="00ED7AFF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</w:t>
      </w:r>
      <w:r w:rsidR="00EB65A7">
        <w:rPr>
          <w:sz w:val="26"/>
          <w:szCs w:val="26"/>
        </w:rPr>
        <w:t>частиною першою статті 57 Закону України «Про запобігання корупції» с</w:t>
      </w:r>
      <w:r w:rsidR="00EB65A7" w:rsidRPr="00EB65A7">
        <w:rPr>
          <w:sz w:val="26"/>
          <w:szCs w:val="26"/>
        </w:rPr>
        <w:t>пеціальна перевірка проводиться за письмовою згодою особи, яка претендує на зайняття посади, у строк, що не перевищує двадцяти п’яти календарних днів з дня надання згоди на проведення спеціальної перевірки.</w:t>
      </w:r>
      <w:r w:rsidR="00EB65A7">
        <w:rPr>
          <w:sz w:val="26"/>
          <w:szCs w:val="26"/>
        </w:rPr>
        <w:t xml:space="preserve"> </w:t>
      </w:r>
      <w:r w:rsidR="00EB65A7" w:rsidRPr="00EB65A7">
        <w:rPr>
          <w:sz w:val="26"/>
          <w:szCs w:val="26"/>
        </w:rPr>
        <w:t>У разі ненадання особою такої згоди питання щодо призначення її на посаду не розглядається.</w:t>
      </w:r>
    </w:p>
    <w:p w:rsidR="00ED7AFF" w:rsidRPr="00056DC9" w:rsidRDefault="001745B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234A42">
        <w:rPr>
          <w:sz w:val="26"/>
          <w:szCs w:val="26"/>
        </w:rPr>
        <w:t>бзацом першим</w:t>
      </w:r>
      <w:r w:rsidR="00ED7AFF">
        <w:rPr>
          <w:sz w:val="26"/>
          <w:szCs w:val="26"/>
        </w:rPr>
        <w:t xml:space="preserve"> частини другої статті 57 Закону України «Про запобігання корупції» </w:t>
      </w:r>
      <w:r>
        <w:rPr>
          <w:sz w:val="26"/>
          <w:szCs w:val="26"/>
        </w:rPr>
        <w:t xml:space="preserve">визначено, що </w:t>
      </w:r>
      <w:r w:rsidR="00ED7AFF">
        <w:rPr>
          <w:sz w:val="26"/>
          <w:szCs w:val="26"/>
        </w:rPr>
        <w:t xml:space="preserve">для проведення спеціальної перевірки особа, яка претендує на зайняття посади подає до відповідного органу </w:t>
      </w:r>
      <w:r w:rsidRPr="001745BC">
        <w:rPr>
          <w:sz w:val="26"/>
          <w:szCs w:val="26"/>
        </w:rPr>
        <w:t>письмову згоду на проведення спеціальної перевірки</w:t>
      </w:r>
      <w:r w:rsidR="00ED7AFF">
        <w:rPr>
          <w:sz w:val="26"/>
          <w:szCs w:val="26"/>
        </w:rPr>
        <w:t>.</w:t>
      </w:r>
    </w:p>
    <w:p w:rsidR="00C96202" w:rsidRDefault="001322FE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56DC9" w:rsidRPr="00056DC9">
        <w:rPr>
          <w:sz w:val="26"/>
          <w:szCs w:val="26"/>
        </w:rPr>
        <w:t>ідпункт</w:t>
      </w:r>
      <w:r>
        <w:rPr>
          <w:sz w:val="26"/>
          <w:szCs w:val="26"/>
        </w:rPr>
        <w:t>ом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</w:t>
      </w:r>
      <w:r w:rsidR="00056DC9" w:rsidRPr="00056DC9">
        <w:rPr>
          <w:sz w:val="26"/>
          <w:szCs w:val="26"/>
        </w:rPr>
        <w:t xml:space="preserve"> пункту 13 Оголошення</w:t>
      </w:r>
      <w:r>
        <w:rPr>
          <w:sz w:val="26"/>
          <w:szCs w:val="26"/>
        </w:rPr>
        <w:t xml:space="preserve"> встановлено, що</w:t>
      </w:r>
      <w:r w:rsidR="0042707B" w:rsidRPr="00666CF3">
        <w:rPr>
          <w:sz w:val="26"/>
          <w:szCs w:val="26"/>
        </w:rPr>
        <w:t xml:space="preserve"> </w:t>
      </w:r>
      <w:r w:rsidR="00056DC9" w:rsidRPr="00056DC9">
        <w:rPr>
          <w:sz w:val="26"/>
          <w:szCs w:val="26"/>
        </w:rPr>
        <w:t>для участі в Доборі особ</w:t>
      </w:r>
      <w:r w:rsidR="001745BC">
        <w:rPr>
          <w:sz w:val="26"/>
          <w:szCs w:val="26"/>
        </w:rPr>
        <w:t>і необхідно подати</w:t>
      </w:r>
      <w:r w:rsidR="00C96202">
        <w:rPr>
          <w:sz w:val="26"/>
          <w:szCs w:val="26"/>
        </w:rPr>
        <w:t xml:space="preserve"> </w:t>
      </w:r>
      <w:r w:rsidR="001745BC">
        <w:rPr>
          <w:sz w:val="26"/>
          <w:szCs w:val="26"/>
        </w:rPr>
        <w:t>п</w:t>
      </w:r>
      <w:r w:rsidR="001745BC" w:rsidRPr="001745BC">
        <w:rPr>
          <w:sz w:val="26"/>
          <w:szCs w:val="26"/>
        </w:rPr>
        <w:t>исьмову згоду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 відповідно до Закону України «Про запобігання корупції»</w:t>
      </w:r>
      <w:r w:rsidR="00ED7AFF">
        <w:rPr>
          <w:sz w:val="26"/>
          <w:szCs w:val="26"/>
        </w:rPr>
        <w:t>.</w:t>
      </w:r>
    </w:p>
    <w:p w:rsidR="00637D0C" w:rsidRDefault="00637D0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4B56DD">
        <w:rPr>
          <w:sz w:val="26"/>
          <w:szCs w:val="26"/>
        </w:rPr>
        <w:t>На сторінці «Добір на посаду судді місцевого суду» офіційного сайту Комісії було розміщено роз’яснення «</w:t>
      </w:r>
      <w:r>
        <w:rPr>
          <w:sz w:val="26"/>
          <w:szCs w:val="26"/>
        </w:rPr>
        <w:t>Пам’ятка кандидату на посаду судді місцевого суду щ</w:t>
      </w:r>
      <w:r w:rsidRPr="004B56DD">
        <w:rPr>
          <w:sz w:val="26"/>
          <w:szCs w:val="26"/>
        </w:rPr>
        <w:t xml:space="preserve">одо </w:t>
      </w:r>
      <w:r>
        <w:rPr>
          <w:sz w:val="26"/>
          <w:szCs w:val="26"/>
        </w:rPr>
        <w:t>документів для участі в доборі</w:t>
      </w:r>
      <w:r w:rsidR="001322FE">
        <w:rPr>
          <w:sz w:val="26"/>
          <w:szCs w:val="26"/>
        </w:rPr>
        <w:t>», у</w:t>
      </w:r>
      <w:r w:rsidRPr="004B56DD">
        <w:rPr>
          <w:sz w:val="26"/>
          <w:szCs w:val="26"/>
        </w:rPr>
        <w:t xml:space="preserve"> якому наголошено на необхідності подання </w:t>
      </w:r>
      <w:r>
        <w:rPr>
          <w:sz w:val="26"/>
          <w:szCs w:val="26"/>
        </w:rPr>
        <w:t>з</w:t>
      </w:r>
      <w:r w:rsidRPr="004B56DD">
        <w:rPr>
          <w:sz w:val="26"/>
          <w:szCs w:val="26"/>
        </w:rPr>
        <w:t>год</w:t>
      </w:r>
      <w:r>
        <w:rPr>
          <w:sz w:val="26"/>
          <w:szCs w:val="26"/>
        </w:rPr>
        <w:t>и</w:t>
      </w:r>
      <w:r w:rsidRPr="004B56DD">
        <w:rPr>
          <w:sz w:val="26"/>
          <w:szCs w:val="26"/>
        </w:rPr>
        <w:t xml:space="preserve"> на проведення спеціальної перевірки</w:t>
      </w:r>
      <w:r>
        <w:rPr>
          <w:sz w:val="26"/>
          <w:szCs w:val="26"/>
        </w:rPr>
        <w:t xml:space="preserve">. </w:t>
      </w:r>
    </w:p>
    <w:p w:rsidR="00510A80" w:rsidRPr="00E9669C" w:rsidRDefault="001322FE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10A80" w:rsidRPr="001322FE">
        <w:rPr>
          <w:sz w:val="26"/>
          <w:szCs w:val="26"/>
        </w:rPr>
        <w:t xml:space="preserve">ід час перевірки </w:t>
      </w:r>
      <w:r w:rsidR="00E9669C" w:rsidRPr="001322FE">
        <w:rPr>
          <w:sz w:val="26"/>
          <w:szCs w:val="26"/>
        </w:rPr>
        <w:t xml:space="preserve">документів, </w:t>
      </w:r>
      <w:r w:rsidR="00510A80" w:rsidRPr="001322FE">
        <w:rPr>
          <w:sz w:val="26"/>
          <w:szCs w:val="26"/>
        </w:rPr>
        <w:t>поданих Дубицькою Н.Т</w:t>
      </w:r>
      <w:r w:rsidR="00E9669C" w:rsidRPr="001322FE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E9669C" w:rsidRPr="001322FE">
        <w:rPr>
          <w:sz w:val="26"/>
          <w:szCs w:val="26"/>
        </w:rPr>
        <w:t xml:space="preserve"> </w:t>
      </w:r>
      <w:r>
        <w:rPr>
          <w:sz w:val="26"/>
          <w:szCs w:val="26"/>
        </w:rPr>
        <w:t>виявлено, що в</w:t>
      </w:r>
      <w:r w:rsidR="00510A80" w:rsidRPr="001322FE">
        <w:rPr>
          <w:sz w:val="26"/>
          <w:szCs w:val="26"/>
        </w:rPr>
        <w:t xml:space="preserve"> </w:t>
      </w:r>
      <w:r w:rsidR="00E9669C" w:rsidRPr="001322FE">
        <w:rPr>
          <w:sz w:val="26"/>
          <w:szCs w:val="26"/>
        </w:rPr>
        <w:t>кабі</w:t>
      </w:r>
      <w:r>
        <w:rPr>
          <w:sz w:val="26"/>
          <w:szCs w:val="26"/>
        </w:rPr>
        <w:t>неті кандидата на посаду судді в</w:t>
      </w:r>
      <w:r w:rsidR="00E9669C" w:rsidRPr="001322FE">
        <w:rPr>
          <w:sz w:val="26"/>
          <w:szCs w:val="26"/>
        </w:rPr>
        <w:t xml:space="preserve"> розділ </w:t>
      </w:r>
      <w:r w:rsidR="00510A80" w:rsidRPr="001322FE">
        <w:rPr>
          <w:sz w:val="26"/>
          <w:szCs w:val="26"/>
        </w:rPr>
        <w:t>«Згода на проведення спеціальної перевірки»</w:t>
      </w:r>
      <w:r w:rsidR="00E9669C" w:rsidRPr="001322FE">
        <w:rPr>
          <w:sz w:val="26"/>
          <w:szCs w:val="26"/>
        </w:rPr>
        <w:t xml:space="preserve"> Дубицькою Н.Т. долучено заяву від 11 березня 2024 року такого змісту: «</w:t>
      </w:r>
      <w:r>
        <w:rPr>
          <w:sz w:val="26"/>
          <w:szCs w:val="26"/>
        </w:rPr>
        <w:t>Я, Дубицька (</w:t>
      </w:r>
      <w:proofErr w:type="spellStart"/>
      <w:r w:rsidR="00510A80" w:rsidRPr="001322FE">
        <w:rPr>
          <w:sz w:val="26"/>
          <w:szCs w:val="26"/>
        </w:rPr>
        <w:t>Петрицин</w:t>
      </w:r>
      <w:proofErr w:type="spellEnd"/>
      <w:r w:rsidR="00510A80" w:rsidRPr="001322FE">
        <w:rPr>
          <w:sz w:val="26"/>
          <w:szCs w:val="26"/>
        </w:rPr>
        <w:t>) Наталія Тарасівна</w:t>
      </w:r>
      <w:r>
        <w:rPr>
          <w:sz w:val="26"/>
          <w:szCs w:val="26"/>
        </w:rPr>
        <w:t>,</w:t>
      </w:r>
      <w:r w:rsidR="00510A80" w:rsidRPr="001322FE">
        <w:rPr>
          <w:sz w:val="26"/>
          <w:szCs w:val="26"/>
        </w:rPr>
        <w:t xml:space="preserve"> подала документи для участі в конкурсі на посаду судді апеляційного суду. Я вже офіційно брала участь у конкурсі на посаду судді місцевого суду, була допущена до участі у конкурсі та подавала весь необхідний комплект документів в паперовому вигляді та в електронному, мій стаж та всі інші дані було підтверджено. Щодо цього конкурсу, то сертифікат про володіння державною мовою </w:t>
      </w:r>
      <w:proofErr w:type="spellStart"/>
      <w:r w:rsidR="00510A80" w:rsidRPr="001322FE">
        <w:rPr>
          <w:sz w:val="26"/>
          <w:szCs w:val="26"/>
        </w:rPr>
        <w:t>надам</w:t>
      </w:r>
      <w:proofErr w:type="spellEnd"/>
      <w:r w:rsidR="00510A80" w:rsidRPr="001322FE">
        <w:rPr>
          <w:sz w:val="26"/>
          <w:szCs w:val="26"/>
        </w:rPr>
        <w:t xml:space="preserve"> згодом, як це було передбачено рішенням комісії для всіх кандидатів. Я б хотіла вже цього разу здати кваліфікаційні іспити та все</w:t>
      </w:r>
      <w:r>
        <w:rPr>
          <w:sz w:val="26"/>
          <w:szCs w:val="26"/>
        </w:rPr>
        <w:t>,</w:t>
      </w:r>
      <w:r w:rsidR="00510A80" w:rsidRPr="001322FE">
        <w:rPr>
          <w:sz w:val="26"/>
          <w:szCs w:val="26"/>
        </w:rPr>
        <w:t xml:space="preserve"> що вимагається згідно законодавства, адже я відповідаю всім законним вимогам та є всі підстави, згідно Закону</w:t>
      </w:r>
      <w:r w:rsidR="00666CF3" w:rsidRPr="001322FE">
        <w:rPr>
          <w:sz w:val="26"/>
          <w:szCs w:val="26"/>
        </w:rPr>
        <w:t>.</w:t>
      </w:r>
      <w:r w:rsidR="00510A80" w:rsidRPr="001322FE">
        <w:rPr>
          <w:sz w:val="26"/>
          <w:szCs w:val="26"/>
        </w:rPr>
        <w:t xml:space="preserve"> Прошу повідомити мені причини відмови в допуску до участі в конкурсі на посаду судді апеляційного суду та мотиви прийняття такого рішення</w:t>
      </w:r>
      <w:r w:rsidR="00E9669C" w:rsidRPr="001322FE">
        <w:rPr>
          <w:sz w:val="26"/>
          <w:szCs w:val="26"/>
        </w:rPr>
        <w:t>»</w:t>
      </w:r>
      <w:r w:rsidR="00510A80" w:rsidRPr="001322FE">
        <w:rPr>
          <w:sz w:val="26"/>
          <w:szCs w:val="26"/>
        </w:rPr>
        <w:t>.</w:t>
      </w:r>
    </w:p>
    <w:p w:rsidR="00E9669C" w:rsidRDefault="00666CF3" w:rsidP="00E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Відтак, д</w:t>
      </w:r>
      <w:r w:rsidR="00E9669C" w:rsidRPr="007C3E26">
        <w:rPr>
          <w:sz w:val="26"/>
          <w:szCs w:val="26"/>
        </w:rPr>
        <w:t xml:space="preserve">ослідивши </w:t>
      </w:r>
      <w:r w:rsidR="00E9669C">
        <w:rPr>
          <w:sz w:val="26"/>
          <w:szCs w:val="26"/>
        </w:rPr>
        <w:t>подані</w:t>
      </w:r>
      <w:r w:rsidR="00E9669C" w:rsidRPr="007C3E26">
        <w:rPr>
          <w:sz w:val="26"/>
          <w:szCs w:val="26"/>
        </w:rPr>
        <w:t xml:space="preserve"> </w:t>
      </w:r>
      <w:r w:rsidR="00E9669C">
        <w:rPr>
          <w:sz w:val="26"/>
          <w:szCs w:val="26"/>
        </w:rPr>
        <w:t>Дубицькою Н.Т.</w:t>
      </w:r>
      <w:r w:rsidR="00E9669C" w:rsidRPr="00C22B51">
        <w:rPr>
          <w:sz w:val="26"/>
          <w:szCs w:val="26"/>
        </w:rPr>
        <w:t xml:space="preserve"> </w:t>
      </w:r>
      <w:r w:rsidRPr="00666CF3">
        <w:rPr>
          <w:sz w:val="26"/>
          <w:szCs w:val="26"/>
        </w:rPr>
        <w:t>документи</w:t>
      </w:r>
      <w:r w:rsidR="001322FE">
        <w:rPr>
          <w:sz w:val="26"/>
          <w:szCs w:val="26"/>
        </w:rPr>
        <w:t>,</w:t>
      </w:r>
      <w:r w:rsidRPr="00666CF3">
        <w:rPr>
          <w:sz w:val="26"/>
          <w:szCs w:val="26"/>
        </w:rPr>
        <w:t xml:space="preserve"> </w:t>
      </w:r>
      <w:r w:rsidR="00E9669C">
        <w:rPr>
          <w:sz w:val="26"/>
          <w:szCs w:val="26"/>
        </w:rPr>
        <w:t xml:space="preserve">Комісією встановлено, що нею не </w:t>
      </w:r>
      <w:r>
        <w:rPr>
          <w:sz w:val="26"/>
          <w:szCs w:val="26"/>
        </w:rPr>
        <w:t>надано</w:t>
      </w:r>
      <w:r w:rsidR="001322FE">
        <w:rPr>
          <w:sz w:val="26"/>
          <w:szCs w:val="26"/>
        </w:rPr>
        <w:t xml:space="preserve"> письмової</w:t>
      </w:r>
      <w:r w:rsidR="00E9669C">
        <w:rPr>
          <w:sz w:val="26"/>
          <w:szCs w:val="26"/>
        </w:rPr>
        <w:t xml:space="preserve"> згод</w:t>
      </w:r>
      <w:r w:rsidR="001322FE">
        <w:rPr>
          <w:sz w:val="26"/>
          <w:szCs w:val="26"/>
        </w:rPr>
        <w:t>и</w:t>
      </w:r>
      <w:r w:rsidR="00E9669C">
        <w:rPr>
          <w:sz w:val="26"/>
          <w:szCs w:val="26"/>
        </w:rPr>
        <w:t xml:space="preserve"> на проведення спеціальної перевірки</w:t>
      </w:r>
      <w:r w:rsidR="00E9669C" w:rsidRPr="007C3E26">
        <w:rPr>
          <w:sz w:val="26"/>
          <w:szCs w:val="26"/>
        </w:rPr>
        <w:t>.</w:t>
      </w:r>
    </w:p>
    <w:p w:rsidR="007C3E26" w:rsidRPr="002B60E3" w:rsidRDefault="007C3E26" w:rsidP="00CD0968">
      <w:pPr>
        <w:shd w:val="clear" w:color="auto" w:fill="FFFFFF"/>
        <w:spacing w:line="240" w:lineRule="auto"/>
        <w:ind w:leftChars="0" w:left="1" w:firstLineChars="217" w:firstLine="564"/>
        <w:jc w:val="both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2B60E3">
        <w:rPr>
          <w:position w:val="0"/>
          <w:sz w:val="26"/>
          <w:szCs w:val="26"/>
          <w:lang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7C3E26" w:rsidRDefault="007C3E26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</w:t>
      </w:r>
      <w:r w:rsidR="001322FE">
        <w:rPr>
          <w:sz w:val="26"/>
          <w:szCs w:val="26"/>
        </w:rPr>
        <w:t>у</w:t>
      </w:r>
      <w:r w:rsidRPr="007C3E26">
        <w:rPr>
          <w:sz w:val="26"/>
          <w:szCs w:val="26"/>
        </w:rPr>
        <w:t xml:space="preserve"> редакції рішення Комісії від 19 жовтня 2023 року № 119/зп-23)</w:t>
      </w:r>
      <w:r w:rsidR="001322FE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CD0968" w:rsidRPr="00CD0968" w:rsidRDefault="00CD0968" w:rsidP="00CD0968">
      <w:pPr>
        <w:widowControl w:val="0"/>
        <w:spacing w:line="240" w:lineRule="auto"/>
        <w:ind w:leftChars="0" w:left="1" w:firstLineChars="217" w:firstLine="564"/>
        <w:jc w:val="both"/>
        <w:rPr>
          <w:sz w:val="26"/>
          <w:szCs w:val="26"/>
          <w:shd w:val="clear" w:color="auto" w:fill="FFFFFF"/>
        </w:rPr>
      </w:pPr>
      <w:r w:rsidRPr="00CD0968">
        <w:rPr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>
        <w:rPr>
          <w:sz w:val="26"/>
          <w:szCs w:val="26"/>
        </w:rPr>
        <w:t>Дубицькій Н.Т.</w:t>
      </w:r>
      <w:r w:rsidRPr="00CD0968">
        <w:rPr>
          <w:sz w:val="26"/>
          <w:szCs w:val="26"/>
        </w:rPr>
        <w:t xml:space="preserve"> </w:t>
      </w:r>
      <w:r w:rsidRPr="00CD0968">
        <w:rPr>
          <w:sz w:val="26"/>
          <w:szCs w:val="26"/>
          <w:shd w:val="clear" w:color="auto" w:fill="FFFFFF"/>
        </w:rPr>
        <w:t>у допуску до участі в Доборі.</w:t>
      </w:r>
    </w:p>
    <w:p w:rsidR="00323B30" w:rsidRPr="00690F5C" w:rsidRDefault="00323B30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чи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колегією,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щодо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допуску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до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конкурсу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або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добору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(частина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четверта</w:t>
      </w:r>
      <w:r w:rsidRPr="008C552B">
        <w:rPr>
          <w:sz w:val="44"/>
          <w:szCs w:val="44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статті 101 Закону).</w:t>
      </w:r>
    </w:p>
    <w:p w:rsidR="004A0C97" w:rsidRPr="00690F5C" w:rsidRDefault="003B20F8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322FE">
        <w:rPr>
          <w:sz w:val="26"/>
          <w:szCs w:val="26"/>
        </w:rPr>
        <w:t>Вища кваліфікаційна к</w:t>
      </w:r>
      <w:r w:rsidRPr="003B20F8">
        <w:rPr>
          <w:sz w:val="26"/>
          <w:szCs w:val="26"/>
        </w:rPr>
        <w:t>омісія</w:t>
      </w:r>
      <w:r w:rsidR="001322FE">
        <w:rPr>
          <w:sz w:val="26"/>
          <w:szCs w:val="26"/>
        </w:rPr>
        <w:t xml:space="preserve"> суддів України</w:t>
      </w:r>
      <w:r w:rsidRPr="003B20F8">
        <w:rPr>
          <w:sz w:val="26"/>
          <w:szCs w:val="26"/>
        </w:rPr>
        <w:t xml:space="preserve"> одноголосно</w:t>
      </w:r>
    </w:p>
    <w:p w:rsidR="004A0C97" w:rsidRPr="00C22B51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C22B51" w:rsidRDefault="007C4E9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:rsidR="00973856" w:rsidRPr="00C22B51" w:rsidRDefault="00973856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EA1593" w:rsidP="00CD0968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CD0968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Дубицькій Наталії Тарасівні</w:t>
      </w:r>
      <w:r w:rsidR="0063688C" w:rsidRPr="0063688C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="001322FE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в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:rsidR="00A0455F" w:rsidRPr="00C22B51" w:rsidRDefault="00A0455F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D0968" w:rsidRPr="00CD0968" w:rsidRDefault="00CD0968" w:rsidP="00CD0968">
      <w:pPr>
        <w:spacing w:line="240" w:lineRule="exact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  <w:r w:rsidRPr="00CD0968">
        <w:rPr>
          <w:position w:val="0"/>
          <w:sz w:val="26"/>
          <w:szCs w:val="26"/>
        </w:rPr>
        <w:t>Головуючий</w:t>
      </w:r>
      <w:r w:rsidRPr="00CD0968">
        <w:rPr>
          <w:position w:val="0"/>
          <w:sz w:val="26"/>
          <w:szCs w:val="26"/>
        </w:rPr>
        <w:tab/>
      </w:r>
      <w:r>
        <w:rPr>
          <w:position w:val="0"/>
          <w:sz w:val="26"/>
          <w:szCs w:val="26"/>
        </w:rPr>
        <w:t xml:space="preserve">        </w:t>
      </w:r>
      <w:r w:rsidRPr="00CD0968">
        <w:rPr>
          <w:position w:val="0"/>
          <w:sz w:val="26"/>
          <w:szCs w:val="26"/>
        </w:rPr>
        <w:t xml:space="preserve">   Михайло БОГОНІС</w:t>
      </w: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  <w:r w:rsidRPr="00CD0968">
        <w:rPr>
          <w:position w:val="0"/>
          <w:sz w:val="26"/>
          <w:szCs w:val="26"/>
        </w:rPr>
        <w:t>Члени Комісії:</w:t>
      </w:r>
      <w:r w:rsidRPr="00CD0968">
        <w:rPr>
          <w:position w:val="0"/>
          <w:sz w:val="26"/>
          <w:szCs w:val="26"/>
        </w:rPr>
        <w:tab/>
        <w:t xml:space="preserve">         </w:t>
      </w:r>
      <w:r>
        <w:rPr>
          <w:position w:val="0"/>
          <w:sz w:val="26"/>
          <w:szCs w:val="26"/>
        </w:rPr>
        <w:t xml:space="preserve"> </w:t>
      </w:r>
      <w:r w:rsidRPr="00CD0968">
        <w:rPr>
          <w:position w:val="0"/>
          <w:sz w:val="26"/>
          <w:szCs w:val="26"/>
        </w:rPr>
        <w:t xml:space="preserve"> Надія КОБЕЦЬКА</w:t>
      </w: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exact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</w:p>
    <w:p w:rsidR="00CD0968" w:rsidRPr="00CD0968" w:rsidRDefault="00CD0968" w:rsidP="00CD0968">
      <w:pPr>
        <w:shd w:val="clear" w:color="auto" w:fill="FFFFFF"/>
        <w:tabs>
          <w:tab w:val="left" w:pos="6804"/>
        </w:tabs>
        <w:suppressAutoHyphens/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</w:rPr>
      </w:pPr>
      <w:r w:rsidRPr="00CD0968">
        <w:rPr>
          <w:position w:val="0"/>
          <w:sz w:val="26"/>
          <w:szCs w:val="26"/>
        </w:rPr>
        <w:tab/>
      </w:r>
      <w:r>
        <w:rPr>
          <w:position w:val="0"/>
          <w:sz w:val="26"/>
          <w:szCs w:val="26"/>
        </w:rPr>
        <w:t xml:space="preserve">     </w:t>
      </w:r>
      <w:r w:rsidRPr="00CD0968">
        <w:rPr>
          <w:position w:val="0"/>
          <w:sz w:val="26"/>
          <w:szCs w:val="26"/>
        </w:rPr>
        <w:t xml:space="preserve">      Галина ШЕВЧУК</w:t>
      </w:r>
      <w:bookmarkStart w:id="0" w:name="_GoBack"/>
      <w:bookmarkEnd w:id="0"/>
    </w:p>
    <w:sectPr w:rsidR="00CD0968" w:rsidRPr="00CD0968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4D" w:rsidRDefault="00D6114D">
      <w:pPr>
        <w:spacing w:line="240" w:lineRule="auto"/>
        <w:ind w:left="0" w:hanging="2"/>
      </w:pPr>
      <w:r>
        <w:separator/>
      </w:r>
    </w:p>
  </w:endnote>
  <w:end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4D" w:rsidRDefault="00D6114D">
      <w:pPr>
        <w:spacing w:line="240" w:lineRule="auto"/>
        <w:ind w:left="0" w:hanging="2"/>
      </w:pPr>
      <w:r>
        <w:separator/>
      </w:r>
    </w:p>
  </w:footnote>
  <w:footnote w:type="continuationSeparator" w:id="0">
    <w:p w:rsidR="00D6114D" w:rsidRDefault="00D611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22FE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4A8B"/>
    <w:rsid w:val="00042CFF"/>
    <w:rsid w:val="00053B9E"/>
    <w:rsid w:val="00056DC9"/>
    <w:rsid w:val="00066E7F"/>
    <w:rsid w:val="0007087E"/>
    <w:rsid w:val="000820C3"/>
    <w:rsid w:val="00084533"/>
    <w:rsid w:val="000C77D1"/>
    <w:rsid w:val="00123ED8"/>
    <w:rsid w:val="001322FE"/>
    <w:rsid w:val="00132AEC"/>
    <w:rsid w:val="001407FC"/>
    <w:rsid w:val="00147E2E"/>
    <w:rsid w:val="00153858"/>
    <w:rsid w:val="00160500"/>
    <w:rsid w:val="001745BC"/>
    <w:rsid w:val="0017586F"/>
    <w:rsid w:val="00194B0F"/>
    <w:rsid w:val="001B4A01"/>
    <w:rsid w:val="001C7107"/>
    <w:rsid w:val="001D2504"/>
    <w:rsid w:val="001F654D"/>
    <w:rsid w:val="00215395"/>
    <w:rsid w:val="00234A42"/>
    <w:rsid w:val="0023679E"/>
    <w:rsid w:val="00251FD9"/>
    <w:rsid w:val="00292FE6"/>
    <w:rsid w:val="00294FBD"/>
    <w:rsid w:val="00295C57"/>
    <w:rsid w:val="002A4CC2"/>
    <w:rsid w:val="002A7C44"/>
    <w:rsid w:val="002B60E3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0A80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01131"/>
    <w:rsid w:val="0063688C"/>
    <w:rsid w:val="00637D0C"/>
    <w:rsid w:val="006539C1"/>
    <w:rsid w:val="00660B18"/>
    <w:rsid w:val="00666941"/>
    <w:rsid w:val="00666CF3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4374D"/>
    <w:rsid w:val="00881831"/>
    <w:rsid w:val="008970B9"/>
    <w:rsid w:val="008A6D3E"/>
    <w:rsid w:val="008C552B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764AD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D0968"/>
    <w:rsid w:val="00CE665F"/>
    <w:rsid w:val="00D111EF"/>
    <w:rsid w:val="00D301A2"/>
    <w:rsid w:val="00D33FAC"/>
    <w:rsid w:val="00D562BA"/>
    <w:rsid w:val="00D6114D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43D44"/>
    <w:rsid w:val="00E535E8"/>
    <w:rsid w:val="00E547D7"/>
    <w:rsid w:val="00E61BA9"/>
    <w:rsid w:val="00E6771E"/>
    <w:rsid w:val="00E72FF3"/>
    <w:rsid w:val="00E80C7B"/>
    <w:rsid w:val="00E937DE"/>
    <w:rsid w:val="00E9669C"/>
    <w:rsid w:val="00EA1593"/>
    <w:rsid w:val="00EA5B00"/>
    <w:rsid w:val="00EB0E8B"/>
    <w:rsid w:val="00EB65A7"/>
    <w:rsid w:val="00ED7AFF"/>
    <w:rsid w:val="00EE6706"/>
    <w:rsid w:val="00F2479C"/>
    <w:rsid w:val="00F67BE6"/>
    <w:rsid w:val="00F720E0"/>
    <w:rsid w:val="00F824E1"/>
    <w:rsid w:val="00F87218"/>
    <w:rsid w:val="00FB4BD7"/>
    <w:rsid w:val="00FF4EB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E3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4D25D7-4BC9-4596-9FBE-AF06F671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4570</Words>
  <Characters>2606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2025-05-14T10:16:00Z</cp:lastPrinted>
  <dcterms:created xsi:type="dcterms:W3CDTF">2025-05-22T12:45:00Z</dcterms:created>
  <dcterms:modified xsi:type="dcterms:W3CDTF">2025-05-22T12:45:00Z</dcterms:modified>
</cp:coreProperties>
</file>