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34888BE4" wp14:editId="756B6B1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4E" w:rsidRDefault="0078774E" w:rsidP="007877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Default="0078774E" w:rsidP="0078774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Pr="001D31D7" w:rsidRDefault="00CF1AD6" w:rsidP="00EB079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</w:pPr>
      <w:r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>25 грудня</w:t>
      </w:r>
      <w:r w:rsidR="00235BF7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 xml:space="preserve"> 2024</w:t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 xml:space="preserve"> року </w:t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</w:r>
      <w:r w:rsidR="0078774E" w:rsidRPr="001D31D7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ab/>
        <w:t>м. Київ</w:t>
      </w:r>
    </w:p>
    <w:p w:rsidR="0078774E" w:rsidRPr="001D31D7" w:rsidRDefault="0078774E" w:rsidP="00EB079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</w:pPr>
    </w:p>
    <w:p w:rsidR="0078774E" w:rsidRPr="001D31D7" w:rsidRDefault="0078774E" w:rsidP="00EB07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</w:pPr>
      <w:r w:rsidRPr="001D31D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 xml:space="preserve">Р І Ш Е Н </w:t>
      </w:r>
      <w:proofErr w:type="spellStart"/>
      <w:r w:rsidRPr="001D31D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>Н</w:t>
      </w:r>
      <w:proofErr w:type="spellEnd"/>
      <w:r w:rsidRPr="001D31D7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 xml:space="preserve"> Я № </w:t>
      </w:r>
      <w:r w:rsidR="00B540BA" w:rsidRPr="00B540BA">
        <w:rPr>
          <w:rFonts w:ascii="Times New Roman" w:eastAsia="Times New Roman" w:hAnsi="Times New Roman"/>
          <w:bCs/>
          <w:color w:val="000000" w:themeColor="text1"/>
          <w:sz w:val="25"/>
          <w:szCs w:val="25"/>
          <w:u w:val="single"/>
          <w:lang w:val="uk-UA" w:eastAsia="ru-RU"/>
        </w:rPr>
        <w:t>379/зп-24</w:t>
      </w:r>
    </w:p>
    <w:p w:rsidR="0078774E" w:rsidRPr="001D31D7" w:rsidRDefault="0078774E" w:rsidP="00EB079D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</w:pPr>
    </w:p>
    <w:p w:rsidR="0078774E" w:rsidRPr="0072099B" w:rsidRDefault="0078774E" w:rsidP="00EB079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</w:pPr>
      <w:r w:rsidRPr="0072099B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 xml:space="preserve">Вища кваліфікаційна комісія суддів України у складі </w:t>
      </w:r>
      <w:r w:rsidR="00A42DE0" w:rsidRPr="0072099B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>Другої</w:t>
      </w:r>
      <w:r w:rsidRPr="0072099B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ru-RU"/>
        </w:rPr>
        <w:t xml:space="preserve"> палати:</w:t>
      </w:r>
    </w:p>
    <w:p w:rsidR="00EB4586" w:rsidRPr="0072099B" w:rsidRDefault="00EB4586" w:rsidP="00EB079D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</w:p>
    <w:p w:rsidR="0078774E" w:rsidRPr="0072099B" w:rsidRDefault="0078774E" w:rsidP="00EB079D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 xml:space="preserve">головуючого – </w:t>
      </w:r>
      <w:r w:rsidR="007A36A7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Олексія ОМЕЛЬЯНА</w:t>
      </w:r>
      <w:r w:rsidR="00DE46F2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,</w:t>
      </w:r>
    </w:p>
    <w:p w:rsidR="00EB4586" w:rsidRPr="0072099B" w:rsidRDefault="00EB4586" w:rsidP="00EB079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</w:p>
    <w:p w:rsidR="0078774E" w:rsidRPr="0072099B" w:rsidRDefault="0078774E" w:rsidP="00EB079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 xml:space="preserve">членів Комісії: </w:t>
      </w:r>
      <w:r w:rsidR="00235BF7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Віталія ГАЦЕЛЮКА</w:t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 xml:space="preserve">, </w:t>
      </w:r>
      <w:r w:rsidR="00A42DE0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Володимира ЛУГАНСЬКОГО,</w:t>
      </w:r>
      <w:r w:rsidR="00022E50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 xml:space="preserve"> </w:t>
      </w:r>
      <w:r w:rsidR="00235BF7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Руслана МЕЛЬНИКА (доповідач)</w:t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 xml:space="preserve">, </w:t>
      </w:r>
    </w:p>
    <w:p w:rsidR="00235BF7" w:rsidRPr="0072099B" w:rsidRDefault="00235BF7" w:rsidP="00EB079D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розглянувши питання про </w:t>
      </w:r>
      <w:proofErr w:type="spellStart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</w:rPr>
        <w:t>судді</w:t>
      </w:r>
      <w:proofErr w:type="spellEnd"/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в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</w:rPr>
        <w:t xml:space="preserve"> до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Бердичівського міськрайонного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суду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Житомирської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області, </w:t>
      </w:r>
    </w:p>
    <w:p w:rsidR="0078774E" w:rsidRPr="0072099B" w:rsidRDefault="0078774E" w:rsidP="00EB079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встановила:</w:t>
      </w:r>
    </w:p>
    <w:p w:rsidR="00CF1AD6" w:rsidRPr="0072099B" w:rsidRDefault="00CF1AD6" w:rsidP="00CF1AD6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До Комісії 07 листопада 2024 року надійшло повідомлення Державної судової адміністрації України (далі – ДСА України) № 8-21579/24 про необхідність розгляду питання щодо відрядження суддів до Бердичівського міськрайонного суду Житомирської області у зв’язку з виявленням надмірного рівня судового навантаження в цьому суді.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 xml:space="preserve">Автоматизованою системою розподілу доповідачем у справі визначено члена Комісії Мельника Р.І. 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Згідно з пунктом 1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змінами) (далі – Порядок), Комісією призначено до розгляду питання про відрядження суддів до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Бердичівського міськрайонного суду Житомирської області 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для здійснення правосуддя на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04 грудня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2024 року.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Оголошення про призначення до розгляду зазначеного питання на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04 грудня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2024 року відповідно до вимог пункту 2 розділу III Порядку розміщено на офіційному </w:t>
      </w:r>
      <w:proofErr w:type="spellStart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вебсайті</w:t>
      </w:r>
      <w:proofErr w:type="spellEnd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Комісії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12 листопада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2024 року.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У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визначений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строк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жоден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суддя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не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надав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згоди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на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до цього суду.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Рішенням Вищої кваліфікаційної комісії суддів України від </w:t>
      </w:r>
      <w:r w:rsidR="00CF1AD6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04 грудня</w:t>
      </w:r>
      <w:r w:rsidR="00A42DE0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2024 року № </w:t>
      </w:r>
      <w:r w:rsidR="00CF1AD6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360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/зп-24 продовжено строк розгляду питання відрядження судді</w:t>
      </w:r>
      <w:r w:rsidR="00DE46F2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в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до </w:t>
      </w:r>
      <w:r w:rsidR="001D31D7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Бердичівського міськрайонного суду Житомирської області 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до 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25 грудня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2024 року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Протягом указаного в рішенні строку жоден суддя не виявив бажання бути відрядженим до </w:t>
      </w:r>
      <w:r w:rsidR="00CF1AD6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Б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ердичівського міськрайонного суду Житомирської області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Відповідно до частини першої статті 55 Закону України «Про судоустрій і статус суддів»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</w:t>
      </w:r>
      <w:r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lastRenderedPageBreak/>
        <w:t>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2099B">
        <w:rPr>
          <w:rFonts w:ascii="Times New Roman" w:hAnsi="Times New Roman"/>
          <w:color w:val="000000" w:themeColor="text1"/>
          <w:sz w:val="25"/>
          <w:szCs w:val="25"/>
          <w:lang w:val="uk-UA"/>
        </w:rPr>
        <w:t>Згідно з абзацом першим</w:t>
      </w:r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пункту 11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розділу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ІІІ Порядку за результатами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питання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Вища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кваліфікаційна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комісія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суддів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України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приймає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одне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з таких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рішень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>: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-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внесення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подання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Вищої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ради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правосуддя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з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рекомендацією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на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>;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-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відмову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у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внесенні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подання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Вищої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ради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правосуддя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на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>;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-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залишення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без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та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повернення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Державної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судової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адміністрації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України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повідомлення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необхідність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питання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щодо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Абзацом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другим пункту 11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розділу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ІІІ Порядку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визначено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що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Вища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кваліфікаційна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комісія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суддів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України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приймає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рішення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залишення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без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та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повернення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Державної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судової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адміністрації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України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повідомлення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необхідність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питання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щодо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у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разі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відсутності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суддів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які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виявили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бажання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бути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відрядженими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</w:rPr>
        <w:t>іншого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</w:rPr>
        <w:t xml:space="preserve"> суду.</w:t>
      </w:r>
    </w:p>
    <w:p w:rsidR="007A36A7" w:rsidRPr="0072099B" w:rsidRDefault="00DE46F2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Відповідно до абзацу першого</w:t>
      </w:r>
      <w:r w:rsidR="007A36A7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пункту 15 розділу ІІІ Порядку,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якщо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Вищою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кваліфікаційною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комісією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суддів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України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не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отримано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згоди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судді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на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у строки,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встановлені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пунктами 2, 3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розділу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ІІІ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цього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Порядку,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Комісією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може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бути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прийнято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рішення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про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залишення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без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розгляду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питання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щодо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внесення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подання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про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судді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або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продовження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строку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розгляду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такого </w:t>
      </w:r>
      <w:proofErr w:type="spellStart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питання</w:t>
      </w:r>
      <w:proofErr w:type="spellEnd"/>
      <w:r w:rsidR="007A36A7"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.</w:t>
      </w:r>
      <w:r w:rsidR="007A36A7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</w:t>
      </w:r>
    </w:p>
    <w:p w:rsidR="00E156E1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Заслухавши доповідача, дослідивши наявні в Комісії матеріали, урахувавши, що строк розгляду питання щодо відрядження судді</w:t>
      </w:r>
      <w:r w:rsidR="00A42DE0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в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до </w:t>
      </w:r>
      <w:r w:rsidR="00D10C73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Б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ердичівського міськрайонного суду Житомирської області </w:t>
      </w: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вже продовжувався, проте згоди від суддів не надійшли, Вища кваліфікаційна комісія суддів України дійшла висновку </w:t>
      </w:r>
      <w:r w:rsidR="00A42DE0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п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ро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залишення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без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розгляду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та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повернення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повідомлення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до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Державної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судової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адміністрації</w:t>
      </w:r>
      <w:proofErr w:type="spellEnd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A42DE0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</w:rPr>
        <w:t>України</w:t>
      </w:r>
      <w:proofErr w:type="spellEnd"/>
      <w:r w:rsidR="00E156E1" w:rsidRPr="0072099B">
        <w:rPr>
          <w:rFonts w:ascii="ProbaPro" w:hAnsi="ProbaPro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7A36A7" w:rsidRPr="0072099B" w:rsidRDefault="007A36A7" w:rsidP="007A36A7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 одноголосно</w:t>
      </w:r>
    </w:p>
    <w:p w:rsidR="007A36A7" w:rsidRPr="0072099B" w:rsidRDefault="007A36A7" w:rsidP="007A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</w:p>
    <w:p w:rsidR="007A36A7" w:rsidRPr="0072099B" w:rsidRDefault="007A36A7" w:rsidP="007A3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r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вирішила:</w:t>
      </w:r>
    </w:p>
    <w:p w:rsidR="007A36A7" w:rsidRPr="0072099B" w:rsidRDefault="007A36A7" w:rsidP="007A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</w:p>
    <w:p w:rsidR="007A36A7" w:rsidRPr="0072099B" w:rsidRDefault="00A42DE0" w:rsidP="007A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залишити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без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та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повернути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до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Державної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судової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адміністрації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України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повідомлення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про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необхідність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розгляду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питання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щодо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суддів</w:t>
      </w:r>
      <w:proofErr w:type="spellEnd"/>
      <w:r w:rsidRPr="0072099B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</w:t>
      </w:r>
      <w:r w:rsidR="007A36A7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до </w:t>
      </w:r>
      <w:r w:rsidR="00CF1AD6" w:rsidRPr="0072099B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Б</w:t>
      </w:r>
      <w:r w:rsidR="00CF1AD6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ердичівського міськрайонного суду Житомирської області</w:t>
      </w:r>
      <w:r w:rsidR="007A36A7" w:rsidRPr="0072099B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.</w:t>
      </w:r>
    </w:p>
    <w:p w:rsidR="007A36A7" w:rsidRPr="0072099B" w:rsidRDefault="007A36A7" w:rsidP="007A36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</w:p>
    <w:p w:rsidR="007A36A7" w:rsidRPr="0072099B" w:rsidRDefault="007A36A7" w:rsidP="007A36A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</w:pPr>
    </w:p>
    <w:p w:rsidR="007A36A7" w:rsidRPr="0072099B" w:rsidRDefault="007A36A7" w:rsidP="007A36A7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Головуючий</w:t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="008F6A5A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Олексій ОМЕЛЬЯН</w:t>
      </w:r>
    </w:p>
    <w:p w:rsidR="008F6A5A" w:rsidRPr="0072099B" w:rsidRDefault="007A36A7" w:rsidP="00A42DE0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Члени Комісії:</w:t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="00A42DE0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="008F6A5A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Віталій ГАЦЕЛЮК</w:t>
      </w:r>
    </w:p>
    <w:p w:rsidR="007A36A7" w:rsidRPr="0072099B" w:rsidRDefault="008F6A5A" w:rsidP="007A36A7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="007A36A7"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Володимир ЛУГАНСЬКИЙ</w:t>
      </w:r>
    </w:p>
    <w:p w:rsidR="007A36A7" w:rsidRPr="0072099B" w:rsidRDefault="007A36A7" w:rsidP="008F6A5A">
      <w:pPr>
        <w:shd w:val="clear" w:color="auto" w:fill="FFFFFF"/>
        <w:suppressAutoHyphens/>
        <w:spacing w:after="0" w:line="480" w:lineRule="auto"/>
        <w:ind w:left="5664" w:right="-1" w:firstLine="708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</w:pPr>
      <w:r w:rsidRPr="0072099B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>Руслан МЕЛЬНИК</w:t>
      </w:r>
    </w:p>
    <w:p w:rsidR="007A36A7" w:rsidRPr="00382DFC" w:rsidRDefault="008F6A5A" w:rsidP="008F6A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  <w:r w:rsidRPr="00382DFC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ar-SA"/>
        </w:rPr>
        <w:tab/>
      </w:r>
    </w:p>
    <w:sectPr w:rsidR="007A36A7" w:rsidRPr="00382DFC" w:rsidSect="00EB45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ED" w:rsidRDefault="00325DED" w:rsidP="00EB4586">
      <w:pPr>
        <w:spacing w:after="0" w:line="240" w:lineRule="auto"/>
      </w:pPr>
      <w:r>
        <w:separator/>
      </w:r>
    </w:p>
  </w:endnote>
  <w:endnote w:type="continuationSeparator" w:id="0">
    <w:p w:rsidR="00325DED" w:rsidRDefault="00325DED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ED" w:rsidRDefault="00325DED" w:rsidP="00EB4586">
      <w:pPr>
        <w:spacing w:after="0" w:line="240" w:lineRule="auto"/>
      </w:pPr>
      <w:r>
        <w:separator/>
      </w:r>
    </w:p>
  </w:footnote>
  <w:footnote w:type="continuationSeparator" w:id="0">
    <w:p w:rsidR="00325DED" w:rsidRDefault="00325DED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903596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99B">
          <w:rPr>
            <w:noProof/>
          </w:rPr>
          <w:t>2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AD"/>
    <w:rsid w:val="00022E50"/>
    <w:rsid w:val="0004464F"/>
    <w:rsid w:val="00090C7A"/>
    <w:rsid w:val="000B5625"/>
    <w:rsid w:val="00177715"/>
    <w:rsid w:val="0019717A"/>
    <w:rsid w:val="001A54FA"/>
    <w:rsid w:val="001D31D7"/>
    <w:rsid w:val="001F1024"/>
    <w:rsid w:val="00235BF7"/>
    <w:rsid w:val="002429AD"/>
    <w:rsid w:val="002433D8"/>
    <w:rsid w:val="00325DED"/>
    <w:rsid w:val="00346BE6"/>
    <w:rsid w:val="00354239"/>
    <w:rsid w:val="00382DFC"/>
    <w:rsid w:val="004C03B6"/>
    <w:rsid w:val="005A21CE"/>
    <w:rsid w:val="005B5171"/>
    <w:rsid w:val="006403DC"/>
    <w:rsid w:val="00653475"/>
    <w:rsid w:val="0072099B"/>
    <w:rsid w:val="00737722"/>
    <w:rsid w:val="0078774E"/>
    <w:rsid w:val="007A36A7"/>
    <w:rsid w:val="00874427"/>
    <w:rsid w:val="008F6A5A"/>
    <w:rsid w:val="00901833"/>
    <w:rsid w:val="009207D8"/>
    <w:rsid w:val="0098464C"/>
    <w:rsid w:val="00A05A68"/>
    <w:rsid w:val="00A41338"/>
    <w:rsid w:val="00A42DE0"/>
    <w:rsid w:val="00A81E04"/>
    <w:rsid w:val="00B540BA"/>
    <w:rsid w:val="00C02A46"/>
    <w:rsid w:val="00CF1AD6"/>
    <w:rsid w:val="00CF39FB"/>
    <w:rsid w:val="00D10C73"/>
    <w:rsid w:val="00D3660A"/>
    <w:rsid w:val="00DE37B5"/>
    <w:rsid w:val="00DE46F2"/>
    <w:rsid w:val="00E156E1"/>
    <w:rsid w:val="00E33C0B"/>
    <w:rsid w:val="00EB079D"/>
    <w:rsid w:val="00EB4586"/>
    <w:rsid w:val="00ED4811"/>
    <w:rsid w:val="00EE7A83"/>
    <w:rsid w:val="00F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AC0"/>
  <w15:docId w15:val="{E0BECB01-519D-4F54-AFA4-97BEEDC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Видяпіна Тетяна Миколаївна</cp:lastModifiedBy>
  <cp:revision>3</cp:revision>
  <cp:lastPrinted>2024-10-23T13:48:00Z</cp:lastPrinted>
  <dcterms:created xsi:type="dcterms:W3CDTF">2024-12-26T09:44:00Z</dcterms:created>
  <dcterms:modified xsi:type="dcterms:W3CDTF">2024-12-26T09:47:00Z</dcterms:modified>
</cp:coreProperties>
</file>