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92B5" w14:textId="77777777" w:rsidR="007450B4" w:rsidRPr="00514652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465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F775214" wp14:editId="5F94A1AE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1131B" w14:textId="77777777" w:rsidR="007450B4" w:rsidRPr="00514652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936B51E" w14:textId="77777777" w:rsidR="007450B4" w:rsidRPr="00514652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14652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2CF3695" w14:textId="77777777" w:rsidR="007450B4" w:rsidRPr="00514652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126DE78B" w14:textId="77777777" w:rsidR="007450B4" w:rsidRPr="00514652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0</w:t>
      </w:r>
      <w:r w:rsidR="00F86D2D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9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травня 2025 року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         м. Київ</w:t>
      </w:r>
    </w:p>
    <w:p w14:paraId="1D588B40" w14:textId="77777777" w:rsidR="007450B4" w:rsidRPr="00514652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68E2E23A" w14:textId="3E388B1D" w:rsidR="007450B4" w:rsidRPr="00514652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Р І Ш Е Н </w:t>
      </w:r>
      <w:proofErr w:type="spellStart"/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</w:t>
      </w:r>
      <w:proofErr w:type="spellEnd"/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Я </w:t>
      </w:r>
      <w:r w:rsidR="00514652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№</w:t>
      </w:r>
      <w:r w:rsidR="00514652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514652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</w:rPr>
        <w:t>507/дс-25</w:t>
      </w:r>
    </w:p>
    <w:p w14:paraId="630DABF3" w14:textId="77777777" w:rsidR="007450B4" w:rsidRPr="00514652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1E8A8429" w14:textId="77777777" w:rsidR="007450B4" w:rsidRPr="00514652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Вища кваліфікаційна комісія суддів України у складі колегії:</w:t>
      </w:r>
    </w:p>
    <w:p w14:paraId="42FCEE8A" w14:textId="77777777" w:rsidR="007450B4" w:rsidRPr="00514652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7C57EF35" w14:textId="77777777" w:rsidR="007450B4" w:rsidRPr="00514652" w:rsidRDefault="007450B4" w:rsidP="007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головуючого – </w:t>
      </w:r>
      <w:r w:rsidR="00F86D2D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Олексія ОМЕЛЬЯНА</w:t>
      </w:r>
      <w:r w:rsidR="00690CE6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(доповідач)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</w:t>
      </w:r>
    </w:p>
    <w:p w14:paraId="5480C49B" w14:textId="77777777" w:rsidR="007450B4" w:rsidRPr="00514652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6B034DFD" w14:textId="77777777" w:rsidR="007450B4" w:rsidRPr="00514652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членів Комісії: </w:t>
      </w:r>
      <w:r w:rsidR="00F86D2D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Ярослава ДУХА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F86D2D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Володимира Л</w:t>
      </w:r>
      <w:r w:rsidR="005625F1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УГАНСЬКОГО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</w:t>
      </w:r>
    </w:p>
    <w:p w14:paraId="78D3E163" w14:textId="77777777" w:rsidR="007450B4" w:rsidRPr="00514652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737A842E" w14:textId="53B75FE5" w:rsidR="007450B4" w:rsidRPr="00514652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розглянувши питання допуску </w:t>
      </w:r>
      <w:r w:rsidR="000F7CC3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Коваля Ігоря Юрійовича</w:t>
      </w:r>
      <w:r w:rsidR="005407BF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до участі в доборі на посаду судді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110"/>
          <w:szCs w:val="110"/>
        </w:rPr>
        <w:t xml:space="preserve">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місцевого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110"/>
          <w:szCs w:val="110"/>
        </w:rPr>
        <w:t xml:space="preserve">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суду,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110"/>
          <w:szCs w:val="110"/>
        </w:rPr>
        <w:t xml:space="preserve">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оголошеному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110"/>
          <w:szCs w:val="110"/>
        </w:rPr>
        <w:t xml:space="preserve">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рішенням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110"/>
          <w:szCs w:val="110"/>
        </w:rPr>
        <w:t xml:space="preserve">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Комісії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110"/>
          <w:szCs w:val="110"/>
        </w:rPr>
        <w:t xml:space="preserve">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110"/>
          <w:szCs w:val="110"/>
        </w:rPr>
        <w:t xml:space="preserve">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11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110"/>
          <w:szCs w:val="110"/>
        </w:rPr>
        <w:t xml:space="preserve">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грудня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110"/>
          <w:szCs w:val="110"/>
        </w:rPr>
        <w:t xml:space="preserve">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2024</w:t>
      </w:r>
      <w:r w:rsidR="00514652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2B72CC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року №</w:t>
      </w:r>
      <w:r w:rsidR="009D27B2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 </w:t>
      </w:r>
      <w:r w:rsidR="002B72CC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366/зп-24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</w:t>
      </w:r>
    </w:p>
    <w:p w14:paraId="3E2DC43C" w14:textId="77777777" w:rsidR="007450B4" w:rsidRPr="00514652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7CCDFE72" w14:textId="77777777" w:rsidR="007450B4" w:rsidRPr="00514652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встановила:</w:t>
      </w:r>
    </w:p>
    <w:p w14:paraId="05A754A7" w14:textId="77777777" w:rsidR="007450B4" w:rsidRPr="00514652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7F673A3E" w14:textId="77777777" w:rsidR="007450B4" w:rsidRPr="00514652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363269D7" w14:textId="69DE55F4" w:rsidR="007450B4" w:rsidRPr="00514652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514652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471326C3" w14:textId="77777777" w:rsidR="007450B4" w:rsidRPr="00514652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44C2CF85" w14:textId="77777777" w:rsidR="007450B4" w:rsidRPr="00514652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00A00281" w14:textId="77777777" w:rsidR="007450B4" w:rsidRPr="00514652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5320ED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58CB288" w14:textId="77777777" w:rsidR="007450B4" w:rsidRPr="00514652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1A9D091" w14:textId="77777777" w:rsidR="007450B4" w:rsidRPr="00514652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До Комісії </w:t>
      </w:r>
      <w:r w:rsidR="000F7CC3" w:rsidRPr="0051465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11</w:t>
      </w: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березня 2025 року надійшла заява </w:t>
      </w:r>
      <w:r w:rsidR="000F7CC3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Коваля Ігоря Юрійовича</w:t>
      </w: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про участь у Доборі.</w:t>
      </w:r>
    </w:p>
    <w:p w14:paraId="7AB322C0" w14:textId="77777777" w:rsidR="00471A7C" w:rsidRPr="00514652" w:rsidRDefault="007450B4" w:rsidP="00471A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bookmarkStart w:id="0" w:name="_Hlk198560236"/>
      <w:r w:rsidRPr="00514652">
        <w:rPr>
          <w:color w:val="0D0D0D" w:themeColor="text1" w:themeTint="F2"/>
          <w:sz w:val="26"/>
          <w:szCs w:val="26"/>
          <w:shd w:val="clear" w:color="auto" w:fill="FFFFFF"/>
        </w:rPr>
        <w:t xml:space="preserve">Дослідивши подані </w:t>
      </w:r>
      <w:r w:rsidR="000F7CC3" w:rsidRPr="00514652">
        <w:rPr>
          <w:color w:val="0D0D0D" w:themeColor="text1" w:themeTint="F2"/>
          <w:sz w:val="26"/>
          <w:szCs w:val="26"/>
          <w:shd w:val="clear" w:color="auto" w:fill="FFFFFF"/>
        </w:rPr>
        <w:t>Ковалем І.Ю.</w:t>
      </w:r>
      <w:r w:rsidR="001B5572" w:rsidRPr="00514652">
        <w:rPr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514652">
        <w:rPr>
          <w:color w:val="0D0D0D" w:themeColor="text1" w:themeTint="F2"/>
          <w:sz w:val="26"/>
          <w:szCs w:val="26"/>
          <w:shd w:val="clear" w:color="auto" w:fill="FFFFFF"/>
        </w:rPr>
        <w:t>документи, Комісія встановила таке.</w:t>
      </w:r>
    </w:p>
    <w:p w14:paraId="454920A0" w14:textId="77777777" w:rsidR="007450B4" w:rsidRPr="00514652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bookmarkStart w:id="1" w:name="_Hlk198540229"/>
      <w:bookmarkStart w:id="2" w:name="_Hlk198539997"/>
      <w:bookmarkEnd w:id="0"/>
      <w:r w:rsidRPr="00514652">
        <w:rPr>
          <w:color w:val="0D0D0D" w:themeColor="text1" w:themeTint="F2"/>
          <w:sz w:val="26"/>
          <w:szCs w:val="26"/>
        </w:rPr>
        <w:t xml:space="preserve">Пунктом 13 частини першої статті 72 Закону визначено, що </w:t>
      </w:r>
      <w:r w:rsidRPr="00514652">
        <w:rPr>
          <w:color w:val="0D0D0D" w:themeColor="text1" w:themeTint="F2"/>
          <w:sz w:val="26"/>
          <w:szCs w:val="26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цього Закону. До таких документів відповідно до </w:t>
      </w:r>
      <w:r w:rsidRPr="00514652">
        <w:rPr>
          <w:color w:val="0D0D0D" w:themeColor="text1" w:themeTint="F2"/>
          <w:sz w:val="26"/>
          <w:szCs w:val="26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21758427" w14:textId="39210435" w:rsidR="00471A7C" w:rsidRPr="00514652" w:rsidRDefault="00471A7C" w:rsidP="00471A7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514652">
        <w:rPr>
          <w:color w:val="0D0D0D" w:themeColor="text1" w:themeTint="F2"/>
          <w:sz w:val="26"/>
          <w:szCs w:val="26"/>
        </w:rPr>
        <w:t>Підпунктом</w:t>
      </w:r>
      <w:r w:rsidRPr="00514652">
        <w:rPr>
          <w:color w:val="0D0D0D" w:themeColor="text1" w:themeTint="F2"/>
          <w:sz w:val="40"/>
          <w:szCs w:val="40"/>
        </w:rPr>
        <w:t xml:space="preserve"> </w:t>
      </w:r>
      <w:r w:rsidRPr="00514652">
        <w:rPr>
          <w:color w:val="0D0D0D" w:themeColor="text1" w:themeTint="F2"/>
          <w:sz w:val="26"/>
          <w:szCs w:val="26"/>
        </w:rPr>
        <w:t>13.15.1</w:t>
      </w:r>
      <w:r w:rsidR="00211B00" w:rsidRPr="00514652">
        <w:rPr>
          <w:color w:val="0D0D0D" w:themeColor="text1" w:themeTint="F2"/>
          <w:sz w:val="40"/>
          <w:szCs w:val="40"/>
        </w:rPr>
        <w:t xml:space="preserve"> </w:t>
      </w:r>
      <w:r w:rsidRPr="00514652">
        <w:rPr>
          <w:color w:val="0D0D0D" w:themeColor="text1" w:themeTint="F2"/>
          <w:sz w:val="26"/>
          <w:szCs w:val="26"/>
        </w:rPr>
        <w:t>пункту</w:t>
      </w:r>
      <w:r w:rsidRPr="00514652">
        <w:rPr>
          <w:color w:val="0D0D0D" w:themeColor="text1" w:themeTint="F2"/>
          <w:sz w:val="40"/>
          <w:szCs w:val="40"/>
        </w:rPr>
        <w:t xml:space="preserve"> </w:t>
      </w:r>
      <w:r w:rsidRPr="00514652">
        <w:rPr>
          <w:color w:val="0D0D0D" w:themeColor="text1" w:themeTint="F2"/>
          <w:sz w:val="26"/>
          <w:szCs w:val="26"/>
        </w:rPr>
        <w:t>13</w:t>
      </w:r>
      <w:r w:rsidRPr="00514652">
        <w:rPr>
          <w:color w:val="0D0D0D" w:themeColor="text1" w:themeTint="F2"/>
          <w:sz w:val="40"/>
          <w:szCs w:val="40"/>
        </w:rPr>
        <w:t xml:space="preserve"> </w:t>
      </w:r>
      <w:r w:rsidRPr="00514652">
        <w:rPr>
          <w:color w:val="0D0D0D" w:themeColor="text1" w:themeTint="F2"/>
          <w:sz w:val="26"/>
          <w:szCs w:val="26"/>
        </w:rPr>
        <w:t>Оголошення</w:t>
      </w:r>
      <w:r w:rsidRPr="00514652">
        <w:rPr>
          <w:color w:val="0D0D0D" w:themeColor="text1" w:themeTint="F2"/>
          <w:sz w:val="40"/>
          <w:szCs w:val="40"/>
        </w:rPr>
        <w:t xml:space="preserve"> </w:t>
      </w:r>
      <w:r w:rsidRPr="00514652">
        <w:rPr>
          <w:color w:val="0D0D0D" w:themeColor="text1" w:themeTint="F2"/>
          <w:sz w:val="26"/>
          <w:szCs w:val="26"/>
        </w:rPr>
        <w:t>визначено,</w:t>
      </w:r>
      <w:r w:rsidRPr="00514652">
        <w:rPr>
          <w:color w:val="0D0D0D" w:themeColor="text1" w:themeTint="F2"/>
          <w:sz w:val="40"/>
          <w:szCs w:val="40"/>
        </w:rPr>
        <w:t xml:space="preserve"> </w:t>
      </w:r>
      <w:r w:rsidRPr="00514652">
        <w:rPr>
          <w:color w:val="0D0D0D" w:themeColor="text1" w:themeTint="F2"/>
          <w:sz w:val="26"/>
          <w:szCs w:val="26"/>
        </w:rPr>
        <w:t>що</w:t>
      </w:r>
      <w:r w:rsidRPr="00514652">
        <w:rPr>
          <w:color w:val="0D0D0D" w:themeColor="text1" w:themeTint="F2"/>
          <w:sz w:val="40"/>
          <w:szCs w:val="40"/>
        </w:rPr>
        <w:t xml:space="preserve"> </w:t>
      </w:r>
      <w:r w:rsidRPr="00514652">
        <w:rPr>
          <w:color w:val="0D0D0D" w:themeColor="text1" w:themeTint="F2"/>
          <w:sz w:val="26"/>
          <w:szCs w:val="26"/>
        </w:rPr>
        <w:t>витяг</w:t>
      </w:r>
      <w:r w:rsidRPr="00514652">
        <w:rPr>
          <w:color w:val="0D0D0D" w:themeColor="text1" w:themeTint="F2"/>
          <w:sz w:val="40"/>
          <w:szCs w:val="40"/>
        </w:rPr>
        <w:t xml:space="preserve"> </w:t>
      </w:r>
      <w:r w:rsidRPr="00514652">
        <w:rPr>
          <w:color w:val="0D0D0D" w:themeColor="text1" w:themeTint="F2"/>
          <w:sz w:val="26"/>
          <w:szCs w:val="26"/>
        </w:rPr>
        <w:t>з</w:t>
      </w:r>
      <w:r w:rsidRPr="00514652">
        <w:rPr>
          <w:color w:val="0D0D0D" w:themeColor="text1" w:themeTint="F2"/>
          <w:sz w:val="40"/>
          <w:szCs w:val="40"/>
        </w:rPr>
        <w:t xml:space="preserve"> </w:t>
      </w:r>
      <w:r w:rsidRPr="00514652">
        <w:rPr>
          <w:color w:val="0D0D0D" w:themeColor="text1" w:themeTint="F2"/>
          <w:sz w:val="26"/>
          <w:szCs w:val="26"/>
        </w:rPr>
        <w:t>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кандидатом не раніше 01 березня 2025 року</w:t>
      </w:r>
      <w:bookmarkEnd w:id="1"/>
      <w:r w:rsidRPr="00514652">
        <w:rPr>
          <w:color w:val="0D0D0D" w:themeColor="text1" w:themeTint="F2"/>
          <w:sz w:val="26"/>
          <w:szCs w:val="26"/>
        </w:rPr>
        <w:t xml:space="preserve">. </w:t>
      </w:r>
    </w:p>
    <w:bookmarkEnd w:id="2"/>
    <w:p w14:paraId="345B8078" w14:textId="77777777" w:rsidR="00471A7C" w:rsidRPr="00514652" w:rsidRDefault="00471A7C" w:rsidP="00471A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514652">
        <w:rPr>
          <w:rFonts w:eastAsia="Calibri"/>
          <w:color w:val="0D0D0D" w:themeColor="text1" w:themeTint="F2"/>
          <w:sz w:val="26"/>
          <w:szCs w:val="26"/>
        </w:rPr>
        <w:t xml:space="preserve">Ковалем І.Ю. </w:t>
      </w:r>
      <w:r w:rsidRPr="00514652">
        <w:rPr>
          <w:color w:val="0D0D0D" w:themeColor="text1" w:themeTint="F2"/>
          <w:sz w:val="26"/>
          <w:szCs w:val="26"/>
        </w:rPr>
        <w:t>подано до Комісії</w:t>
      </w:r>
      <w:r w:rsidRPr="00514652">
        <w:rPr>
          <w:b/>
          <w:color w:val="0D0D0D" w:themeColor="text1" w:themeTint="F2"/>
          <w:sz w:val="26"/>
          <w:szCs w:val="26"/>
        </w:rPr>
        <w:t xml:space="preserve"> </w:t>
      </w:r>
      <w:r w:rsidRPr="00514652">
        <w:rPr>
          <w:rStyle w:val="a4"/>
          <w:b w:val="0"/>
          <w:color w:val="0D0D0D" w:themeColor="text1" w:themeTint="F2"/>
          <w:sz w:val="26"/>
          <w:szCs w:val="26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 26 лютого 2025 рок</w:t>
      </w:r>
      <w:r w:rsidR="005320ED" w:rsidRPr="00514652">
        <w:rPr>
          <w:rStyle w:val="a4"/>
          <w:b w:val="0"/>
          <w:color w:val="0D0D0D" w:themeColor="text1" w:themeTint="F2"/>
          <w:sz w:val="26"/>
          <w:szCs w:val="26"/>
          <w:shd w:val="clear" w:color="auto" w:fill="FFFFFF"/>
        </w:rPr>
        <w:t>у,</w:t>
      </w:r>
      <w:r w:rsidRPr="00D7792D">
        <w:rPr>
          <w:bCs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514652">
        <w:rPr>
          <w:color w:val="0D0D0D" w:themeColor="text1" w:themeTint="F2"/>
          <w:sz w:val="26"/>
          <w:szCs w:val="26"/>
          <w:shd w:val="clear" w:color="auto" w:fill="FFFFFF"/>
        </w:rPr>
        <w:t>тобто</w:t>
      </w:r>
      <w:r w:rsidR="00731FFE" w:rsidRPr="00514652">
        <w:rPr>
          <w:color w:val="0D0D0D" w:themeColor="text1" w:themeTint="F2"/>
          <w:sz w:val="26"/>
          <w:szCs w:val="26"/>
          <w:shd w:val="clear" w:color="auto" w:fill="FFFFFF"/>
        </w:rPr>
        <w:t xml:space="preserve"> раніше</w:t>
      </w:r>
      <w:r w:rsidRPr="00514652">
        <w:rPr>
          <w:color w:val="0D0D0D" w:themeColor="text1" w:themeTint="F2"/>
          <w:sz w:val="26"/>
          <w:szCs w:val="26"/>
          <w:shd w:val="clear" w:color="auto" w:fill="FFFFFF"/>
        </w:rPr>
        <w:t xml:space="preserve"> 1</w:t>
      </w:r>
      <w:r w:rsidRPr="00D7792D">
        <w:rPr>
          <w:bCs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514652">
        <w:rPr>
          <w:color w:val="0D0D0D" w:themeColor="text1" w:themeTint="F2"/>
          <w:sz w:val="26"/>
          <w:szCs w:val="26"/>
          <w:shd w:val="clear" w:color="auto" w:fill="FFFFFF"/>
        </w:rPr>
        <w:t>березня 2025 року.</w:t>
      </w:r>
    </w:p>
    <w:p w14:paraId="6F56D568" w14:textId="77777777" w:rsidR="00D7792D" w:rsidRDefault="00D12F6F" w:rsidP="00D7792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514652">
        <w:rPr>
          <w:color w:val="0D0D0D" w:themeColor="text1" w:themeTint="F2"/>
          <w:sz w:val="26"/>
          <w:szCs w:val="26"/>
          <w:shd w:val="clear" w:color="auto" w:fill="FFFFFF"/>
        </w:rPr>
        <w:t>Також до Комісії 08 травня 2025 року надійшла заява Коваля І.Ю., відповідно до якої ним надіслано витяг з інформаційно-аналітичної системи «Облік відомостей про притягнення особи до кримінальної відповідальності та наявності судимості» станом на 08 травня 2025 року.</w:t>
      </w:r>
    </w:p>
    <w:p w14:paraId="65BE1B59" w14:textId="77777777" w:rsidR="00D7792D" w:rsidRDefault="00F40023" w:rsidP="00D7792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514652">
        <w:rPr>
          <w:color w:val="0D0D0D" w:themeColor="text1" w:themeTint="F2"/>
          <w:sz w:val="26"/>
          <w:szCs w:val="26"/>
          <w:highlight w:val="white"/>
        </w:rPr>
        <w:t xml:space="preserve">У вказаній заяві викладено прохання про долучення вказаного </w:t>
      </w:r>
      <w:r w:rsidR="00D8659B" w:rsidRPr="00514652">
        <w:rPr>
          <w:color w:val="0D0D0D" w:themeColor="text1" w:themeTint="F2"/>
          <w:sz w:val="26"/>
          <w:szCs w:val="26"/>
          <w:highlight w:val="white"/>
        </w:rPr>
        <w:t>витягу</w:t>
      </w:r>
      <w:r w:rsidRPr="00514652">
        <w:rPr>
          <w:color w:val="0D0D0D" w:themeColor="text1" w:themeTint="F2"/>
          <w:sz w:val="26"/>
          <w:szCs w:val="26"/>
          <w:highlight w:val="white"/>
        </w:rPr>
        <w:t xml:space="preserve"> </w:t>
      </w:r>
      <w:r w:rsidRPr="00514652">
        <w:rPr>
          <w:color w:val="0D0D0D" w:themeColor="text1" w:themeTint="F2"/>
          <w:sz w:val="26"/>
          <w:szCs w:val="26"/>
        </w:rPr>
        <w:t xml:space="preserve">до поданих документів для участі </w:t>
      </w:r>
      <w:r w:rsidR="006461E8" w:rsidRPr="00514652">
        <w:rPr>
          <w:color w:val="0D0D0D" w:themeColor="text1" w:themeTint="F2"/>
          <w:sz w:val="26"/>
          <w:szCs w:val="26"/>
        </w:rPr>
        <w:t xml:space="preserve">в </w:t>
      </w:r>
      <w:r w:rsidRPr="00514652">
        <w:rPr>
          <w:color w:val="0D0D0D" w:themeColor="text1" w:themeTint="F2"/>
          <w:sz w:val="26"/>
          <w:szCs w:val="26"/>
        </w:rPr>
        <w:t>Добор</w:t>
      </w:r>
      <w:r w:rsidR="00D8659B" w:rsidRPr="00514652">
        <w:rPr>
          <w:color w:val="0D0D0D" w:themeColor="text1" w:themeTint="F2"/>
          <w:sz w:val="26"/>
          <w:szCs w:val="26"/>
        </w:rPr>
        <w:t>і.</w:t>
      </w:r>
    </w:p>
    <w:p w14:paraId="78605522" w14:textId="77777777" w:rsidR="00D7792D" w:rsidRDefault="00F40023" w:rsidP="00D7792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514652">
        <w:rPr>
          <w:color w:val="0D0D0D" w:themeColor="text1" w:themeTint="F2"/>
          <w:sz w:val="26"/>
          <w:szCs w:val="26"/>
          <w:highlight w:val="white"/>
        </w:rPr>
        <w:t xml:space="preserve">В оцінці підстав для ухвалення рішення щодо допуску Коваля І.Ю. до участі у доборі на посаду судді Комісія виходить із змісту приписів статті 19 Конституції України, відповідно </w:t>
      </w:r>
      <w:r w:rsidRPr="00514652">
        <w:rPr>
          <w:color w:val="0D0D0D" w:themeColor="text1" w:themeTint="F2"/>
          <w:sz w:val="26"/>
          <w:szCs w:val="26"/>
        </w:rPr>
        <w:t>до яких органи державної влади, їх посадові особи зобов'язані діяти лише на підставі, в межах повноважень та у спосіб, що передбачені Конституцією та законами України.</w:t>
      </w:r>
    </w:p>
    <w:p w14:paraId="74DB2C60" w14:textId="77777777" w:rsidR="00D7792D" w:rsidRDefault="00F40023" w:rsidP="00D7792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514652">
        <w:rPr>
          <w:color w:val="0D0D0D" w:themeColor="text1" w:themeTint="F2"/>
          <w:sz w:val="26"/>
          <w:szCs w:val="26"/>
        </w:rPr>
        <w:t>В силу зазначених вимог та з огляду на відсутність в законодавстві України, що регулює суспільні відносини щодо добору кандидатів на посаду судді, права Комісії на індивідуальне встановлення відповідних строків подачі окремими кандидатами документів для участі у Доборі</w:t>
      </w:r>
      <w:r w:rsidR="006461E8" w:rsidRPr="00514652">
        <w:rPr>
          <w:color w:val="0D0D0D" w:themeColor="text1" w:themeTint="F2"/>
          <w:sz w:val="26"/>
          <w:szCs w:val="26"/>
        </w:rPr>
        <w:t>,</w:t>
      </w:r>
      <w:r w:rsidRPr="00514652">
        <w:rPr>
          <w:color w:val="0D0D0D" w:themeColor="text1" w:themeTint="F2"/>
          <w:sz w:val="26"/>
          <w:szCs w:val="26"/>
        </w:rPr>
        <w:t xml:space="preserve"> Комісія не вбачає законних підстав для надання можливості кандидату </w:t>
      </w:r>
      <w:r w:rsidR="00D8659B" w:rsidRPr="00514652">
        <w:rPr>
          <w:color w:val="0D0D0D" w:themeColor="text1" w:themeTint="F2"/>
          <w:sz w:val="26"/>
          <w:szCs w:val="26"/>
        </w:rPr>
        <w:t>Ковалю І.Ю.</w:t>
      </w:r>
      <w:r w:rsidRPr="00514652">
        <w:rPr>
          <w:color w:val="0D0D0D" w:themeColor="text1" w:themeTint="F2"/>
          <w:sz w:val="26"/>
          <w:szCs w:val="26"/>
        </w:rPr>
        <w:t xml:space="preserve"> встановлення відмінного ніж іншим кандидатам строку на надання відповідних документів до Комісії. </w:t>
      </w:r>
    </w:p>
    <w:p w14:paraId="7AEA0D38" w14:textId="77777777" w:rsidR="00D7792D" w:rsidRDefault="00F40023" w:rsidP="00D7792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514652">
        <w:rPr>
          <w:color w:val="0D0D0D" w:themeColor="text1" w:themeTint="F2"/>
          <w:sz w:val="26"/>
          <w:szCs w:val="26"/>
        </w:rPr>
        <w:t>Комісія вважає за необхідне вирішення питання щодо допуску кандидата до Добору здійснювати із врахуванням документів, наданих у визначений Комісією термін.</w:t>
      </w:r>
    </w:p>
    <w:p w14:paraId="371B90CD" w14:textId="000A2904" w:rsidR="00F40023" w:rsidRPr="00D7792D" w:rsidRDefault="00F40023" w:rsidP="00D7792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514652">
        <w:rPr>
          <w:color w:val="0D0D0D" w:themeColor="text1" w:themeTint="F2"/>
          <w:sz w:val="26"/>
          <w:szCs w:val="26"/>
        </w:rPr>
        <w:t>У зв’язку із викладеним Комісія не вбачає підстав брати до уваги поданий Ковалем</w:t>
      </w:r>
      <w:r w:rsidR="005320ED" w:rsidRPr="00514652">
        <w:rPr>
          <w:color w:val="0D0D0D" w:themeColor="text1" w:themeTint="F2"/>
          <w:sz w:val="26"/>
          <w:szCs w:val="26"/>
        </w:rPr>
        <w:t> </w:t>
      </w:r>
      <w:r w:rsidRPr="00514652">
        <w:rPr>
          <w:color w:val="0D0D0D" w:themeColor="text1" w:themeTint="F2"/>
          <w:sz w:val="26"/>
          <w:szCs w:val="26"/>
        </w:rPr>
        <w:t>І.Ю. витяг</w:t>
      </w:r>
      <w:r w:rsidR="00D8659B" w:rsidRPr="00514652">
        <w:rPr>
          <w:color w:val="0D0D0D" w:themeColor="text1" w:themeTint="F2"/>
          <w:sz w:val="26"/>
          <w:szCs w:val="26"/>
        </w:rPr>
        <w:t xml:space="preserve"> </w:t>
      </w:r>
      <w:r w:rsidRPr="00514652">
        <w:rPr>
          <w:color w:val="0D0D0D" w:themeColor="text1" w:themeTint="F2"/>
          <w:sz w:val="26"/>
          <w:szCs w:val="26"/>
        </w:rPr>
        <w:t>з інформаційно-аналітичної системи «Облік відомостей про притягнення особи до кримінальної відповідальності та наявності судимості» станом на 08 травня 2025 року.</w:t>
      </w:r>
    </w:p>
    <w:p w14:paraId="378ED2E1" w14:textId="77777777" w:rsidR="007450B4" w:rsidRPr="00514652" w:rsidRDefault="007450B4" w:rsidP="00471A7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bookmarkStart w:id="3" w:name="_Hlk198540039"/>
      <w:r w:rsidRPr="00514652">
        <w:rPr>
          <w:color w:val="0D0D0D" w:themeColor="text1" w:themeTint="F2"/>
          <w:sz w:val="26"/>
          <w:szCs w:val="26"/>
        </w:rPr>
        <w:t>Відповідно до статті 73 Закону особа має відповідати вимогам до кандидата на посаду судді на день подання заяви про участь у доборі</w:t>
      </w:r>
      <w:r w:rsidR="00471A7C" w:rsidRPr="00514652">
        <w:rPr>
          <w:color w:val="0D0D0D" w:themeColor="text1" w:themeTint="F2"/>
          <w:sz w:val="26"/>
          <w:szCs w:val="26"/>
        </w:rPr>
        <w:t xml:space="preserve">. </w:t>
      </w:r>
      <w:r w:rsidR="00471A7C" w:rsidRPr="00514652">
        <w:rPr>
          <w:color w:val="0D0D0D" w:themeColor="text1" w:themeTint="F2"/>
          <w:sz w:val="26"/>
          <w:szCs w:val="26"/>
          <w:shd w:val="clear" w:color="auto" w:fill="FFFFFF"/>
        </w:rPr>
        <w:t>О</w:t>
      </w:r>
      <w:r w:rsidRPr="00514652">
        <w:rPr>
          <w:color w:val="0D0D0D" w:themeColor="text1" w:themeTint="F2"/>
          <w:sz w:val="26"/>
          <w:szCs w:val="26"/>
          <w:shd w:val="clear" w:color="auto" w:fill="FFFFFF"/>
        </w:rPr>
        <w:t xml:space="preserve">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</w:t>
      </w:r>
      <w:r w:rsidRPr="00514652">
        <w:rPr>
          <w:color w:val="0D0D0D" w:themeColor="text1" w:themeTint="F2"/>
          <w:sz w:val="26"/>
          <w:szCs w:val="26"/>
          <w:shd w:val="clear" w:color="auto" w:fill="FFFFFF"/>
        </w:rPr>
        <w:lastRenderedPageBreak/>
        <w:t>установленим Законом вимогам до кандидата на посаду судді, до участі у доборі на посаду судді не допускаються.</w:t>
      </w:r>
    </w:p>
    <w:bookmarkEnd w:id="3"/>
    <w:p w14:paraId="7D3CC35F" w14:textId="77777777" w:rsidR="007450B4" w:rsidRPr="00514652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Підпунктом 60.1 пункту 60 </w:t>
      </w:r>
      <w:r w:rsidRPr="00514652">
        <w:rPr>
          <w:rStyle w:val="a4"/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параграфа 7 Регламенту Вищої кваліфікаційної</w:t>
      </w:r>
      <w:r w:rsidRPr="00514652">
        <w:rPr>
          <w:rStyle w:val="a4"/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14652">
        <w:rPr>
          <w:rStyle w:val="a4"/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комісії суддів України, затвердженого рішенням</w:t>
      </w:r>
      <w:r w:rsidRPr="00D7792D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6"/>
          <w:szCs w:val="26"/>
        </w:rPr>
        <w:t xml:space="preserve"> </w:t>
      </w: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Комісії від</w:t>
      </w:r>
      <w:r w:rsidRPr="00D7792D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6"/>
          <w:szCs w:val="26"/>
        </w:rPr>
        <w:t xml:space="preserve"> </w:t>
      </w:r>
      <w:r w:rsidRPr="00514652">
        <w:rPr>
          <w:rStyle w:val="a4"/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13 жовтня 2016 року № 81/зп-16</w:t>
      </w:r>
      <w:r w:rsidR="00D12F6F" w:rsidRPr="00514652">
        <w:rPr>
          <w:rStyle w:val="a4"/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 xml:space="preserve"> </w:t>
      </w:r>
      <w:r w:rsidRPr="00514652">
        <w:rPr>
          <w:rStyle w:val="a4"/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(в редакції рішення</w:t>
      </w:r>
      <w:r w:rsidRPr="00D7792D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6"/>
          <w:szCs w:val="26"/>
        </w:rPr>
        <w:t xml:space="preserve"> </w:t>
      </w: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Комісії</w:t>
      </w:r>
      <w:r w:rsidRPr="00D7792D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6"/>
          <w:szCs w:val="26"/>
        </w:rPr>
        <w:t xml:space="preserve"> </w:t>
      </w:r>
      <w:r w:rsidRPr="00514652">
        <w:rPr>
          <w:rStyle w:val="a4"/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від 19 жовтня 2023 року № 119/зп-23)</w:t>
      </w:r>
      <w:r w:rsidR="005320ED" w:rsidRPr="00514652">
        <w:rPr>
          <w:rStyle w:val="a4"/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,</w:t>
      </w:r>
      <w:r w:rsidRPr="00D7792D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6"/>
          <w:szCs w:val="26"/>
        </w:rPr>
        <w:t xml:space="preserve"> </w:t>
      </w:r>
      <w:r w:rsidRPr="00514652">
        <w:rPr>
          <w:rStyle w:val="a4"/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встановлено, що</w:t>
      </w:r>
      <w:r w:rsidRPr="00D7792D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6"/>
          <w:szCs w:val="26"/>
        </w:rPr>
        <w:t xml:space="preserve"> </w:t>
      </w: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F201836" w14:textId="77777777" w:rsidR="007450B4" w:rsidRPr="00514652" w:rsidRDefault="007450B4" w:rsidP="00CC2D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r w:rsidR="000F7CC3" w:rsidRPr="005146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Ковалю І.Ю.</w:t>
      </w: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у допуску до участі в Доборі.</w:t>
      </w:r>
    </w:p>
    <w:p w14:paraId="2D4D9D78" w14:textId="20D421BF" w:rsidR="007450B4" w:rsidRPr="00514652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BE4A07" w:rsidRPr="0051465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</w:t>
      </w:r>
      <w:r w:rsidRPr="0051465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101 Закону).</w:t>
      </w:r>
    </w:p>
    <w:p w14:paraId="159ED3DF" w14:textId="77777777" w:rsidR="007450B4" w:rsidRPr="00514652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0932CC3C" w14:textId="77777777" w:rsidR="007450B4" w:rsidRPr="00514652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7CD1D270" w14:textId="77777777" w:rsidR="007450B4" w:rsidRPr="00514652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вирішила:</w:t>
      </w:r>
    </w:p>
    <w:p w14:paraId="18831F2E" w14:textId="77777777" w:rsidR="007450B4" w:rsidRPr="00514652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794FF15D" w14:textId="051F6513" w:rsidR="007450B4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відмовити </w:t>
      </w:r>
      <w:r w:rsidR="000F7CC3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Ковалю Ігорю Юрійовичу</w:t>
      </w:r>
      <w:r w:rsidRPr="00514652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="005320ED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</w:t>
      </w:r>
      <w:r w:rsidR="002B72CC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№ 366/зп-24.</w:t>
      </w:r>
    </w:p>
    <w:p w14:paraId="20752BFF" w14:textId="4A25A1EA" w:rsidR="00D7792D" w:rsidRDefault="00D7792D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0494855A" w14:textId="5E770725" w:rsidR="007450B4" w:rsidRDefault="00D7792D" w:rsidP="00D77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</w:t>
      </w:r>
      <w:r w:rsidR="00F86D2D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Олексій ОМЕЛЬЯН</w:t>
      </w:r>
    </w:p>
    <w:p w14:paraId="6FD0596A" w14:textId="27031EC3" w:rsidR="00D7792D" w:rsidRDefault="00D7792D" w:rsidP="00D77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14:paraId="503C69E4" w14:textId="13A627A4" w:rsidR="006257A9" w:rsidRDefault="00D7792D" w:rsidP="00D77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 xml:space="preserve">  </w:t>
      </w:r>
      <w:r w:rsidR="00F86D2D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Ярослав ДУХ</w:t>
      </w:r>
    </w:p>
    <w:p w14:paraId="3C3C3156" w14:textId="6C3D897B" w:rsidR="00D7792D" w:rsidRDefault="00D7792D" w:rsidP="00D77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14:paraId="63E64C63" w14:textId="785193A8" w:rsidR="007450B4" w:rsidRPr="00514652" w:rsidRDefault="00D7792D" w:rsidP="00D77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  <w:t xml:space="preserve">  </w:t>
      </w:r>
      <w:r w:rsidR="00F86D2D" w:rsidRPr="005146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Володимир ЛУГАНСЬКИЙ </w:t>
      </w:r>
    </w:p>
    <w:sectPr w:rsidR="007450B4" w:rsidRPr="00514652" w:rsidSect="000F7CC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6C64D" w14:textId="77777777" w:rsidR="00B44204" w:rsidRDefault="00B44204" w:rsidP="007450B4">
      <w:pPr>
        <w:spacing w:after="0" w:line="240" w:lineRule="auto"/>
      </w:pPr>
      <w:r>
        <w:separator/>
      </w:r>
    </w:p>
  </w:endnote>
  <w:endnote w:type="continuationSeparator" w:id="0">
    <w:p w14:paraId="2DBED2F5" w14:textId="77777777" w:rsidR="00B44204" w:rsidRDefault="00B44204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3EE65" w14:textId="77777777" w:rsidR="00B44204" w:rsidRDefault="00B44204" w:rsidP="007450B4">
      <w:pPr>
        <w:spacing w:after="0" w:line="240" w:lineRule="auto"/>
      </w:pPr>
      <w:r>
        <w:separator/>
      </w:r>
    </w:p>
  </w:footnote>
  <w:footnote w:type="continuationSeparator" w:id="0">
    <w:p w14:paraId="0B85BE3F" w14:textId="77777777" w:rsidR="00B44204" w:rsidRDefault="00B44204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360705"/>
      <w:docPartObj>
        <w:docPartGallery w:val="Page Numbers (Top of Page)"/>
        <w:docPartUnique/>
      </w:docPartObj>
    </w:sdtPr>
    <w:sdtEndPr/>
    <w:sdtContent>
      <w:p w14:paraId="4DEF2407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9E" w:rsidRPr="00BD309E">
          <w:rPr>
            <w:noProof/>
            <w:lang w:val="ru-RU"/>
          </w:rPr>
          <w:t>2</w:t>
        </w:r>
        <w:r>
          <w:fldChar w:fldCharType="end"/>
        </w:r>
      </w:p>
    </w:sdtContent>
  </w:sdt>
  <w:p w14:paraId="6A460E29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F9"/>
    <w:rsid w:val="000040B5"/>
    <w:rsid w:val="00026B45"/>
    <w:rsid w:val="00033AE3"/>
    <w:rsid w:val="00054CD5"/>
    <w:rsid w:val="00091E99"/>
    <w:rsid w:val="000F7CC3"/>
    <w:rsid w:val="001B5572"/>
    <w:rsid w:val="001E0B02"/>
    <w:rsid w:val="002040A3"/>
    <w:rsid w:val="00211B00"/>
    <w:rsid w:val="00285B17"/>
    <w:rsid w:val="00294608"/>
    <w:rsid w:val="002B72CC"/>
    <w:rsid w:val="0035067F"/>
    <w:rsid w:val="003C5F6C"/>
    <w:rsid w:val="0046393A"/>
    <w:rsid w:val="00471A7C"/>
    <w:rsid w:val="004C70FF"/>
    <w:rsid w:val="00514652"/>
    <w:rsid w:val="005320ED"/>
    <w:rsid w:val="005407BF"/>
    <w:rsid w:val="005625F1"/>
    <w:rsid w:val="00591A43"/>
    <w:rsid w:val="005A78D4"/>
    <w:rsid w:val="00607152"/>
    <w:rsid w:val="006145EE"/>
    <w:rsid w:val="00625364"/>
    <w:rsid w:val="006257A9"/>
    <w:rsid w:val="006461E8"/>
    <w:rsid w:val="00690CE6"/>
    <w:rsid w:val="00731FFE"/>
    <w:rsid w:val="00732DC9"/>
    <w:rsid w:val="007450B4"/>
    <w:rsid w:val="00772BE0"/>
    <w:rsid w:val="00777AF9"/>
    <w:rsid w:val="007B7C4E"/>
    <w:rsid w:val="00884985"/>
    <w:rsid w:val="009345E5"/>
    <w:rsid w:val="009538A7"/>
    <w:rsid w:val="009D27B2"/>
    <w:rsid w:val="00B44204"/>
    <w:rsid w:val="00B83962"/>
    <w:rsid w:val="00BD309E"/>
    <w:rsid w:val="00BE4A07"/>
    <w:rsid w:val="00C173CC"/>
    <w:rsid w:val="00C51924"/>
    <w:rsid w:val="00CC2D96"/>
    <w:rsid w:val="00CC4018"/>
    <w:rsid w:val="00D12F6F"/>
    <w:rsid w:val="00D62B52"/>
    <w:rsid w:val="00D771E1"/>
    <w:rsid w:val="00D7792D"/>
    <w:rsid w:val="00D83011"/>
    <w:rsid w:val="00D8659B"/>
    <w:rsid w:val="00E36723"/>
    <w:rsid w:val="00EB2D27"/>
    <w:rsid w:val="00EC7649"/>
    <w:rsid w:val="00F40023"/>
    <w:rsid w:val="00F86D2D"/>
    <w:rsid w:val="00FA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4020"/>
  <w15:docId w15:val="{930DE858-0928-43E8-9134-57E7633E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31284-28B0-48CC-9C1F-FEB4DC60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cp:lastPrinted>2025-05-23T08:44:00Z</cp:lastPrinted>
  <dcterms:created xsi:type="dcterms:W3CDTF">2025-05-25T16:00:00Z</dcterms:created>
  <dcterms:modified xsi:type="dcterms:W3CDTF">2025-05-25T16:00:00Z</dcterms:modified>
</cp:coreProperties>
</file>