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594B5" w14:textId="77777777" w:rsidR="001F2CB5" w:rsidRDefault="001F2CB5" w:rsidP="001F2C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6616A743" w14:textId="77777777" w:rsidR="001F2CB5" w:rsidRDefault="001F2CB5" w:rsidP="001F2C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E1BA86F" w14:textId="77777777" w:rsidR="001F2CB5" w:rsidRDefault="001F2CB5" w:rsidP="001F2C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травня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6195DCD" w14:textId="77777777" w:rsidR="001F2CB5" w:rsidRDefault="001F2CB5" w:rsidP="001F2C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26305325" w14:textId="77777777" w:rsidR="001F2CB5" w:rsidRDefault="001F2CB5" w:rsidP="001F2CB5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16 членів Комісії: Пасічник А.В., Богоніс М.Б., Волкова Л.М.,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 В.І., Мельник Р.І., Омельян О.С., Сабодаш Р.Б., Сидорович Р.М.,            Чумак С.Ю., Шевчук Г.М.</w:t>
      </w:r>
    </w:p>
    <w:p w14:paraId="26F28BD5" w14:textId="77777777" w:rsidR="001F2CB5" w:rsidRPr="009853B9" w:rsidRDefault="001F2CB5" w:rsidP="001F2CB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784046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784046">
        <w:rPr>
          <w:rFonts w:ascii="Times New Roman" w:hAnsi="Times New Roman" w:cs="Times New Roman"/>
          <w:sz w:val="26"/>
          <w:szCs w:val="26"/>
        </w:rPr>
        <w:t xml:space="preserve"> </w:t>
      </w:r>
      <w:r w:rsidRPr="00784046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853B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</w:t>
      </w:r>
      <w:proofErr w:type="spellStart"/>
      <w:r w:rsidRPr="009853B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Щербіну</w:t>
      </w:r>
      <w:proofErr w:type="spellEnd"/>
      <w:r w:rsidRPr="009853B9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Артема Валентиновича таким, що підтвердив здатність здійснювати правосуддя в апеляційному загальному суді.</w:t>
      </w:r>
    </w:p>
    <w:p w14:paraId="41EB389B" w14:textId="77777777" w:rsidR="001F2CB5" w:rsidRPr="001C60EB" w:rsidRDefault="001F2CB5" w:rsidP="001F2C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7E75E0F" w14:textId="77777777" w:rsidR="001F2CB5" w:rsidRPr="009853B9" w:rsidRDefault="001F2CB5" w:rsidP="001F2C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D75E3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9853B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визнати Прохорова Павла Анатолійовича таким, що підтвердив здатність здійснювати правосуддя в апеляційному загальному суді.</w:t>
      </w:r>
    </w:p>
    <w:p w14:paraId="021057CB" w14:textId="77777777" w:rsidR="001F2CB5" w:rsidRPr="00AE24D7" w:rsidRDefault="001F2CB5" w:rsidP="001F2CB5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804C16A" w14:textId="77777777" w:rsidR="001F2CB5" w:rsidRPr="009853B9" w:rsidRDefault="001F2CB5" w:rsidP="001F2CB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1C60E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9853B9">
        <w:rPr>
          <w:rFonts w:ascii="Times New Roman" w:hAnsi="Times New Roman" w:cs="Times New Roman"/>
          <w:sz w:val="26"/>
          <w:szCs w:val="26"/>
          <w:lang w:val="uk-UA"/>
        </w:rPr>
        <w:t>визнати Мовчана Дмитра Валентиновича таким, що підтвердив здатність здійснювати правосуддя в апеляційному загальному суді.</w:t>
      </w:r>
    </w:p>
    <w:p w14:paraId="797CE1F6" w14:textId="77777777" w:rsidR="001F2CB5" w:rsidRPr="00AE24D7" w:rsidRDefault="001F2CB5" w:rsidP="001F2CB5">
      <w:pPr>
        <w:pStyle w:val="a3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14:paraId="46F5A522" w14:textId="77777777" w:rsidR="001F2CB5" w:rsidRPr="00D75E3A" w:rsidRDefault="001F2CB5" w:rsidP="001F2CB5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58CCF27A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місцевих адміністративних судів і Таксономічну характеристику анонімного письмового тестування під час кваліфікаційного оцінювання суддів місцевих адміністративних судів.</w:t>
      </w:r>
    </w:p>
    <w:p w14:paraId="497F0617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місцевих господарських судів і Таксономічну характеристику анонімного письмового тестування під час кваліфікаційного оцінювання суддів місцевих господарських судів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9197D0B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місцевих загальних судів, що спеціалізуються на розгляді кримінальних справ і Таксономічну характеристику анонімного письмового тестування під час кваліфікаційного оцінювання суддів місцевих загальних судів, що спеціалізуються на розгляді кримінальних справ.</w:t>
      </w:r>
    </w:p>
    <w:p w14:paraId="51DEDCEC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місцевих загальних судів, що спеціалізуються на розгляді цивільних справ і Таксономічну характеристику анонімного письмового тестування під час кваліфікаційного оцінювання суддів місцевих загальних судів, що спеціалізуються на розгляді цивільних справ.</w:t>
      </w:r>
    </w:p>
    <w:p w14:paraId="6DCE1FF9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в новій редакції Програму іспиту для кваліфікаційного оцінювання суддів апеляційних адміністративних судів і Таксономічну характеристику анонімного письмового тестування під час кваліфікаційного оцінювання суддів апеляційних адміністративних судів. </w:t>
      </w:r>
    </w:p>
    <w:p w14:paraId="17AD9649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апеляційних господарських судів і Таксономічну характеристику анонімного письмового тестування під час кваліфікаційного оцінювання суддів апеляційних господарських судів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96B27B0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lastRenderedPageBreak/>
        <w:t>Затвердити в новій редакції Програму іспиту для кваліфікаційного оцінювання суддів апеляційних загальних судів, що спеціалізуються на розгляді кримінальних справ і Таксономічну характеристику анонімного письмового тестування під час кваліфікаційного оцінювання суддів апеляційних загальних судів, що спеціалізуються на розгляді кримінальних справ.</w:t>
      </w:r>
    </w:p>
    <w:p w14:paraId="1EDE7B7B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апеляційних загальних судів, що спеціалізуються на розгляді цивільних справ і Таксономічну характеристику анонімного письмового тестування під час кваліфікаційного оцінювання суддів апеляційних загальних судів, що спеціалізуються на розгляді цивільних справ.</w:t>
      </w:r>
    </w:p>
    <w:p w14:paraId="5833F0EE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тестові запитання з адміністративної спеціалізації для проведення іспитів під час кваліфікаційного оцінювання суддів місцевих судів у кількості 699 запитань.</w:t>
      </w:r>
    </w:p>
    <w:p w14:paraId="5BAEACBB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тестові запитання з господарської спеціалізації для проведення іспитів під час кваліфікаційного оцінювання суддів місцевих судів у кількості 716 запитань.</w:t>
      </w:r>
    </w:p>
    <w:p w14:paraId="57256CB5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тестові запитання з кримінальної спеціалізації для проведення іспитів під час кваліфікаційного оцінювання суддів місцевих судів у кількості 705 запитань.</w:t>
      </w:r>
    </w:p>
    <w:p w14:paraId="51C82F60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тестові запитання з цивільної спеціалізації для проведення іспитів під час кваліфікаційного оцінювання суддів місцевих судів у кількості 750 запитань.</w:t>
      </w:r>
    </w:p>
    <w:p w14:paraId="07CE44A1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тестові запитання з адміністративної спеціалізації для проведення іспитів під час кваліфікаційного оцінювання суддів апеляційних судів у кількості 760 запитань.</w:t>
      </w:r>
    </w:p>
    <w:p w14:paraId="0F2B844C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1389F">
        <w:rPr>
          <w:rFonts w:ascii="Times New Roman" w:hAnsi="Times New Roman" w:cs="Times New Roman"/>
          <w:sz w:val="26"/>
          <w:szCs w:val="26"/>
          <w:lang w:val="uk-UA"/>
        </w:rPr>
        <w:t xml:space="preserve">Опублікувати оновлені переліки основ тестових запитань на офіційному </w:t>
      </w:r>
      <w:proofErr w:type="spellStart"/>
      <w:r w:rsidRPr="0051389F">
        <w:rPr>
          <w:rFonts w:ascii="Times New Roman" w:hAnsi="Times New Roman" w:cs="Times New Roman"/>
          <w:sz w:val="26"/>
          <w:szCs w:val="26"/>
          <w:lang w:val="uk-UA"/>
        </w:rPr>
        <w:t>вебсайті</w:t>
      </w:r>
      <w:proofErr w:type="spellEnd"/>
      <w:r w:rsidRPr="0051389F">
        <w:rPr>
          <w:rFonts w:ascii="Times New Roman" w:hAnsi="Times New Roman" w:cs="Times New Roman"/>
          <w:sz w:val="26"/>
          <w:szCs w:val="26"/>
          <w:lang w:val="uk-UA"/>
        </w:rPr>
        <w:t xml:space="preserve"> Комісії.</w:t>
      </w:r>
    </w:p>
    <w:p w14:paraId="137F06BE" w14:textId="77777777" w:rsidR="001F2CB5" w:rsidRPr="0051389F" w:rsidRDefault="001F2CB5" w:rsidP="001F2CB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B32642B" w14:textId="77777777" w:rsidR="001F2CB5" w:rsidRPr="0051389F" w:rsidRDefault="001F2CB5" w:rsidP="001F2CB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14:paraId="2739817E" w14:textId="77777777" w:rsidR="001F2CB5" w:rsidRPr="0051389F" w:rsidRDefault="001F2CB5" w:rsidP="001F2CB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Fonts w:eastAsiaTheme="minorHAnsi"/>
          <w:sz w:val="26"/>
          <w:szCs w:val="26"/>
          <w:lang w:eastAsia="en-US"/>
        </w:rPr>
      </w:pPr>
    </w:p>
    <w:p w14:paraId="64297744" w14:textId="77777777" w:rsidR="001F2CB5" w:rsidRDefault="001F2CB5" w:rsidP="001F2CB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25D16A42" w14:textId="77777777" w:rsidR="001F2CB5" w:rsidRDefault="001F2CB5" w:rsidP="001F2CB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6DE637CC" w14:textId="77777777" w:rsidR="001F2CB5" w:rsidRDefault="001F2CB5" w:rsidP="001F2CB5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B50A7"/>
    <w:multiLevelType w:val="hybridMultilevel"/>
    <w:tmpl w:val="36C4878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F2CB5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1F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2830</Words>
  <Characters>1614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2026-05-14T11:16:00Z</dcterms:created>
  <dcterms:modified xsi:type="dcterms:W3CDTF">2026-05-14T11:16:00Z</dcterms:modified>
</cp:coreProperties>
</file>